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440901-2024-00723</w:t>
      </w:r>
    </w:p>
    <w:p>
      <w:pPr>
        <w:pStyle w:val="null3"/>
        <w:jc w:val="center"/>
        <w:outlineLvl w:val="3"/>
      </w:pPr>
      <w:r>
        <w:rPr>
          <w:b/>
          <w:sz w:val="24"/>
        </w:rPr>
        <w:t>采购项目编号：</w:t>
      </w:r>
      <w:r>
        <w:rPr>
          <w:b/>
          <w:sz w:val="24"/>
        </w:rPr>
        <w:t>GDDHZB20240007</w:t>
      </w:r>
    </w:p>
    <w:p>
      <w:pPr>
        <w:pStyle w:val="null3"/>
        <w:jc w:val="center"/>
        <w:outlineLvl w:val="3"/>
      </w:pPr>
      <w:r>
        <w:rPr>
          <w:b/>
          <w:sz w:val="24"/>
        </w:rPr>
        <w:t>项目名称：</w:t>
      </w:r>
      <w:r>
        <w:rPr>
          <w:b/>
          <w:sz w:val="24"/>
        </w:rPr>
        <w:t>茂名市城市生活垃圾分类全过程咨询技术服务项目</w:t>
      </w:r>
    </w:p>
    <w:p>
      <w:pPr>
        <w:pStyle w:val="null3"/>
        <w:jc w:val="center"/>
        <w:outlineLvl w:val="3"/>
      </w:pPr>
      <w:r>
        <w:rPr>
          <w:b/>
          <w:sz w:val="24"/>
        </w:rPr>
        <w:t>采购人：</w:t>
      </w:r>
      <w:r>
        <w:rPr>
          <w:b/>
          <w:sz w:val="24"/>
        </w:rPr>
        <w:t>茂名市城市管理和综合执法局</w:t>
      </w:r>
    </w:p>
    <w:p>
      <w:pPr>
        <w:pStyle w:val="null3"/>
        <w:jc w:val="center"/>
        <w:outlineLvl w:val="3"/>
      </w:pPr>
      <w:r>
        <w:rPr>
          <w:b/>
          <w:sz w:val="24"/>
        </w:rPr>
        <w:t>采购代理机构：</w:t>
      </w:r>
      <w:r>
        <w:rPr>
          <w:b/>
          <w:sz w:val="24"/>
        </w:rPr>
        <w:t>广东达禾工程管理有限公司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广东达禾工程管理有限公司</w:t>
      </w:r>
      <w:r>
        <w:rPr/>
        <w:t>受</w:t>
      </w:r>
      <w:r>
        <w:rPr/>
        <w:t>茂名市城市管理和综合执法局</w:t>
      </w:r>
      <w:r>
        <w:rPr/>
        <w:t>的委托，采用</w:t>
      </w:r>
      <w:r>
        <w:rPr/>
        <w:t>竞争性磋商</w:t>
      </w:r>
      <w:r>
        <w:rPr/>
        <w:t>方式组织采购</w:t>
      </w:r>
      <w:r>
        <w:rPr/>
        <w:t>茂名市城市生活垃圾分类全过程咨询技术服务项目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茂名市城市生活垃圾分类全过程咨询技术服务项目</w:t>
      </w:r>
    </w:p>
    <w:p>
      <w:pPr>
        <w:pStyle w:val="null3"/>
        <w:ind w:firstLine="480"/>
      </w:pPr>
      <w:r>
        <w:rPr/>
        <w:t>采购计划编号：</w:t>
      </w:r>
      <w:r>
        <w:rPr/>
        <w:t>440901-2024-00723</w:t>
      </w:r>
    </w:p>
    <w:p>
      <w:pPr>
        <w:pStyle w:val="null3"/>
        <w:ind w:firstLine="480"/>
      </w:pPr>
      <w:r>
        <w:rPr/>
        <w:t>采购项目编号：</w:t>
      </w:r>
      <w:r>
        <w:rPr/>
        <w:t>GDDHZB20240007</w:t>
      </w:r>
    </w:p>
    <w:p>
      <w:pPr>
        <w:pStyle w:val="null3"/>
        <w:ind w:firstLine="480"/>
      </w:pPr>
      <w:r>
        <w:rPr/>
        <w:t>采购方式：</w:t>
      </w:r>
      <w:r>
        <w:rPr/>
        <w:t>竞争性磋商</w:t>
      </w:r>
    </w:p>
    <w:p>
      <w:pPr>
        <w:pStyle w:val="null3"/>
        <w:ind w:firstLine="480"/>
      </w:pPr>
      <w:r>
        <w:rPr/>
        <w:t>预算金额：</w:t>
      </w:r>
      <w:r>
        <w:rPr/>
        <w:t>2,000,000.00</w:t>
      </w:r>
      <w:r>
        <w:rPr/>
        <w:t>元</w:t>
      </w:r>
    </w:p>
    <w:p>
      <w:pPr>
        <w:pStyle w:val="null3"/>
        <w:outlineLvl w:val="3"/>
      </w:pPr>
      <w:r>
        <w:rPr>
          <w:b/>
          <w:sz w:val="24"/>
        </w:rPr>
        <w:t>2.项目内容及需求情况（采购项目技术规格、参数及要求）</w:t>
      </w:r>
    </w:p>
    <w:p>
      <w:pPr>
        <w:pStyle w:val="null3"/>
      </w:pPr>
    </w:p>
    <w:p>
      <w:pPr>
        <w:pStyle w:val="null3"/>
      </w:pPr>
      <w:r>
        <w:rPr/>
        <w:t>采购包1(茂名市城市生活垃圾分类全过程咨询技术服务项目):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茂名市城市生活垃圾分类全过程咨询技术服务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合同履行期限：自合同生效之日起至合同全部权利义务履行完毕之日止。</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2）有依法缴纳税收和社会保障资金的良好记录：提供《茂名市政府采购投标人资格信用承诺函》。（格式详见公告附件）</w:t>
      </w:r>
    </w:p>
    <w:p>
      <w:pPr>
        <w:pStyle w:val="null3"/>
      </w:pPr>
    </w:p>
    <w:p>
      <w:pPr>
        <w:pStyle w:val="null3"/>
      </w:pPr>
      <w:r>
        <w:rPr/>
        <w:t>3）具有良好的商业信誉和健全的财务会计制度：提供《茂名市政府采购投标人资格信用承诺函》。（格式详见公告附件）</w:t>
      </w:r>
    </w:p>
    <w:p>
      <w:pPr>
        <w:pStyle w:val="null3"/>
      </w:pPr>
    </w:p>
    <w:p>
      <w:pPr>
        <w:pStyle w:val="null3"/>
      </w:pPr>
      <w:r>
        <w:rPr/>
        <w:t>4）履行合同所必需的设备和专业技术能力：提供《茂名市政府采购投标人资格信用承诺函》。（格式详见公告附件）</w:t>
      </w:r>
    </w:p>
    <w:p>
      <w:pPr>
        <w:pStyle w:val="null3"/>
      </w:pPr>
    </w:p>
    <w:p>
      <w:pPr>
        <w:pStyle w:val="null3"/>
      </w:pPr>
      <w:r>
        <w:rPr/>
        <w:t>5）参加采购活动前3年内，在经营活动中没有重大违法记录：提供《茂名市政府采购投标人资格信用承诺函》。（格式详见公告附件）</w:t>
      </w:r>
    </w:p>
    <w:p>
      <w:pPr>
        <w:pStyle w:val="null3"/>
        <w:outlineLvl w:val="3"/>
      </w:pPr>
      <w:r>
        <w:rPr>
          <w:b/>
          <w:sz w:val="24"/>
        </w:rPr>
        <w:t>2.落实政府采购政策需满足的资格要求：</w:t>
      </w:r>
    </w:p>
    <w:p>
      <w:pPr>
        <w:pStyle w:val="null3"/>
        <w:ind w:firstLine="480"/>
        <w:jc w:val="left"/>
      </w:pPr>
    </w:p>
    <w:p>
      <w:pPr>
        <w:pStyle w:val="null3"/>
        <w:jc w:val="left"/>
      </w:pPr>
      <w:r>
        <w:rPr/>
        <w:t>采购包1（茂名市城市生活垃圾分类全过程咨询技术服务项目）：</w:t>
      </w:r>
      <w:r>
        <w:rPr/>
        <w:t>本项目不属于专门面向中小企业采购的项目。</w:t>
      </w:r>
    </w:p>
    <w:p>
      <w:pPr>
        <w:pStyle w:val="null3"/>
        <w:outlineLvl w:val="3"/>
      </w:pPr>
      <w:r>
        <w:rPr>
          <w:b/>
          <w:sz w:val="24"/>
        </w:rPr>
        <w:t>3.本项目特定的资格要求：</w:t>
      </w:r>
    </w:p>
    <w:p>
      <w:pPr>
        <w:pStyle w:val="null3"/>
      </w:pPr>
    </w:p>
    <w:p>
      <w:pPr>
        <w:pStyle w:val="null3"/>
      </w:pPr>
      <w:r>
        <w:rPr/>
        <w:t>采购包1（茂名市城市生活垃圾分类全过程咨询技术服务项目）：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茂名市城市管理和综合执法局</w:t>
      </w:r>
    </w:p>
    <w:p>
      <w:pPr>
        <w:pStyle w:val="null3"/>
        <w:ind w:firstLine="480"/>
      </w:pPr>
      <w:r>
        <w:rPr/>
        <w:t>地址：</w:t>
      </w:r>
      <w:r>
        <w:rPr/>
        <w:t>茂名市迎宾一路23号大院6楼611室</w:t>
      </w:r>
    </w:p>
    <w:p>
      <w:pPr>
        <w:pStyle w:val="null3"/>
        <w:ind w:firstLine="480"/>
      </w:pPr>
      <w:r>
        <w:rPr/>
        <w:t>联系方式：</w:t>
      </w:r>
      <w:r>
        <w:rPr/>
        <w:t>0668-2881701</w:t>
      </w:r>
    </w:p>
    <w:p>
      <w:pPr>
        <w:pStyle w:val="null3"/>
        <w:outlineLvl w:val="3"/>
      </w:pPr>
      <w:r>
        <w:rPr>
          <w:b/>
          <w:sz w:val="24"/>
        </w:rPr>
        <w:t>2.采购代理机构信息</w:t>
      </w:r>
    </w:p>
    <w:p>
      <w:pPr>
        <w:pStyle w:val="null3"/>
        <w:ind w:firstLine="480"/>
      </w:pPr>
      <w:r>
        <w:rPr/>
        <w:t>名称：</w:t>
      </w:r>
      <w:r>
        <w:rPr/>
        <w:t>广东达禾工程管理有限公司</w:t>
      </w:r>
    </w:p>
    <w:p>
      <w:pPr>
        <w:pStyle w:val="null3"/>
        <w:ind w:firstLine="480"/>
      </w:pPr>
      <w:r>
        <w:rPr/>
        <w:t>地址：</w:t>
      </w:r>
      <w:r>
        <w:rPr/>
        <w:t>茂名市光华南路118号6楼602</w:t>
      </w:r>
    </w:p>
    <w:p>
      <w:pPr>
        <w:pStyle w:val="null3"/>
        <w:ind w:firstLine="480"/>
      </w:pPr>
      <w:r>
        <w:rPr/>
        <w:t>联系方式：</w:t>
      </w:r>
      <w:r>
        <w:rPr/>
        <w:t>0668-2998639</w:t>
      </w:r>
    </w:p>
    <w:p>
      <w:pPr>
        <w:pStyle w:val="null3"/>
        <w:outlineLvl w:val="3"/>
      </w:pPr>
      <w:r>
        <w:rPr>
          <w:b/>
          <w:sz w:val="24"/>
        </w:rPr>
        <w:t>3.项目联系方式</w:t>
      </w:r>
    </w:p>
    <w:p>
      <w:pPr>
        <w:pStyle w:val="null3"/>
        <w:ind w:firstLine="480"/>
      </w:pPr>
      <w:r>
        <w:rPr/>
        <w:t>项目联系人：</w:t>
      </w:r>
      <w:r>
        <w:rPr/>
        <w:t>许小姐</w:t>
      </w:r>
    </w:p>
    <w:p>
      <w:pPr>
        <w:pStyle w:val="null3"/>
        <w:ind w:firstLine="480"/>
      </w:pPr>
      <w:r>
        <w:rPr/>
        <w:t>电话：</w:t>
      </w:r>
      <w:r>
        <w:rPr/>
        <w:t>0668-2998639</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广东达禾工程管理有限公司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（一）项目背景</w:t>
      </w:r>
    </w:p>
    <w:p>
      <w:pPr>
        <w:pStyle w:val="null3"/>
        <w:ind w:firstLine="420"/>
        <w:jc w:val="both"/>
      </w:pPr>
      <w:r>
        <w:rPr>
          <w:sz w:val="21"/>
        </w:rPr>
        <w:t>根据住房城乡建设部、省住房城乡建设厅关于城市生活垃圾分类工作的相关要求，进一步落实《茂名市城市生活垃圾分类工作方案》《贯彻茂名市生活垃圾分类管理条例实施意见》《茂名市城市生活垃圾分类提档增效工作方案（</w:t>
      </w:r>
      <w:r>
        <w:rPr>
          <w:sz w:val="21"/>
        </w:rPr>
        <w:t>2023-2025</w:t>
      </w:r>
      <w:r>
        <w:rPr>
          <w:sz w:val="21"/>
        </w:rPr>
        <w:t>年）》等相关工作目标，推动茂名市城市生活垃圾分类工作提质增效，茂名市城市管理和综合执法局拟委托一家成交供应商开展茂名市城市生活垃圾分类全过程咨询技术服务。</w:t>
      </w:r>
    </w:p>
    <w:p>
      <w:pPr>
        <w:pStyle w:val="null3"/>
        <w:ind w:firstLine="480"/>
        <w:jc w:val="both"/>
      </w:pPr>
      <w:r>
        <w:rPr>
          <w:sz w:val="21"/>
        </w:rPr>
        <w:t>（二）项目工作内容概述</w:t>
      </w:r>
    </w:p>
    <w:p>
      <w:pPr>
        <w:pStyle w:val="null3"/>
        <w:ind w:firstLine="420"/>
        <w:jc w:val="both"/>
      </w:pPr>
      <w:r>
        <w:rPr>
          <w:sz w:val="21"/>
        </w:rPr>
        <w:t>1</w:t>
      </w:r>
      <w:r>
        <w:rPr>
          <w:sz w:val="21"/>
        </w:rPr>
        <w:t>、开展茂名市城市生活垃圾分类评估工作。提供专业技术指导服务，协助茂名市修订城市生活垃圾分类工作评估办法和开展</w:t>
      </w:r>
      <w:r>
        <w:rPr>
          <w:sz w:val="21"/>
        </w:rPr>
        <w:t>2024</w:t>
      </w:r>
      <w:r>
        <w:rPr>
          <w:sz w:val="21"/>
        </w:rPr>
        <w:t>、</w:t>
      </w:r>
      <w:r>
        <w:rPr>
          <w:sz w:val="21"/>
        </w:rPr>
        <w:t>2025</w:t>
      </w:r>
      <w:r>
        <w:rPr>
          <w:sz w:val="21"/>
        </w:rPr>
        <w:t>年茂名市城市生活垃圾分类第三方评估工作，每季度对各区（县级市）生活垃圾分类工作进行量化评估，编制季度评估报告，并每年形成年度评估报告。</w:t>
      </w:r>
    </w:p>
    <w:p>
      <w:pPr>
        <w:pStyle w:val="null3"/>
        <w:ind w:firstLine="420"/>
        <w:jc w:val="both"/>
      </w:pPr>
      <w:r>
        <w:rPr>
          <w:sz w:val="21"/>
        </w:rPr>
        <w:t>2</w:t>
      </w:r>
      <w:r>
        <w:rPr>
          <w:sz w:val="21"/>
        </w:rPr>
        <w:t>、开展居民生活垃圾分类知晓率、参与度调查。每年开展一次茂名市城区居民垃圾分类知晓率和参与度调研，编制调研报告。</w:t>
      </w:r>
    </w:p>
    <w:p>
      <w:pPr>
        <w:pStyle w:val="null3"/>
        <w:ind w:firstLine="420"/>
        <w:jc w:val="both"/>
      </w:pPr>
      <w:r>
        <w:rPr>
          <w:sz w:val="21"/>
        </w:rPr>
        <w:t>3</w:t>
      </w:r>
      <w:r>
        <w:rPr>
          <w:sz w:val="21"/>
        </w:rPr>
        <w:t>、开展生活垃圾分类技术培训和业务指导。制定技术培训和业务指导方案，每季度开展一次业务指导，并提供分析报告。每半年开展一次专业技术培训，并安排生活垃圾分类技术人员为茂名市提供生活垃圾分类工作日常管理咨询技术服务。</w:t>
      </w:r>
    </w:p>
    <w:p>
      <w:pPr>
        <w:pStyle w:val="null3"/>
        <w:ind w:firstLine="420"/>
        <w:jc w:val="both"/>
      </w:pPr>
      <w:r>
        <w:rPr>
          <w:sz w:val="21"/>
        </w:rPr>
        <w:t>4</w:t>
      </w:r>
      <w:r>
        <w:rPr>
          <w:sz w:val="21"/>
        </w:rPr>
        <w:t>、开展生活垃圾分类相关工作指引文件编制。编制校园生活垃圾分类教育和实践工作指引、党建引领生活垃圾分类四级联动工作指引、生活垃圾分类“五位一体”联动机制工作指引等。</w:t>
      </w:r>
    </w:p>
    <w:p>
      <w:pPr>
        <w:pStyle w:val="null3"/>
      </w:pPr>
    </w:p>
    <w:p>
      <w:pPr>
        <w:pStyle w:val="null3"/>
      </w:pPr>
      <w:r>
        <w:rPr/>
        <w:t>采购包1（茂名市城市生活垃圾分类全过程咨询技术服务项目）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自合同生效之日起至合同全部权利义务履行完毕之日止。</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1期：支付比例30%,成交人完成2024年第一季度评估工作，提交2024年第一季度评估报告并经采购人确认后，采购人支付30%服务费给成交人。</w:t>
            </w:r>
          </w:p>
          <w:p>
            <w:pPr>
              <w:pStyle w:val="null3"/>
            </w:pPr>
          </w:p>
          <w:p>
            <w:pPr>
              <w:pStyle w:val="null3"/>
            </w:pPr>
            <w:r>
              <w:rPr/>
              <w:t>2期：支付比例20%,成交人完成2024年第二季度评估工作，提交2024年第二季度评估报告并经采购人确认后，采购人支付20%服务费给成交人。</w:t>
            </w:r>
          </w:p>
          <w:p>
            <w:pPr>
              <w:pStyle w:val="null3"/>
            </w:pPr>
          </w:p>
          <w:p>
            <w:pPr>
              <w:pStyle w:val="null3"/>
            </w:pPr>
            <w:r>
              <w:rPr/>
              <w:t>3期：支付比例25%,成交人完成2025年第一季度评估工作，提交2025年第一季度评估报告并经采购人确认后，采购人支付25%服务费给成交人。</w:t>
            </w:r>
          </w:p>
          <w:p>
            <w:pPr>
              <w:pStyle w:val="null3"/>
            </w:pPr>
          </w:p>
          <w:p>
            <w:pPr>
              <w:pStyle w:val="null3"/>
            </w:pPr>
            <w:r>
              <w:rPr/>
              <w:t>4期：支付比例15%,成交人完成2025年第一季度评估工作，提交2025年第一季度评估报告并经采购人确认后，采购人支付15%服务费给成交人。</w:t>
            </w:r>
          </w:p>
          <w:p>
            <w:pPr>
              <w:pStyle w:val="null3"/>
            </w:pPr>
          </w:p>
          <w:p>
            <w:pPr>
              <w:pStyle w:val="null3"/>
            </w:pPr>
            <w:r>
              <w:rPr/>
              <w:t>5期：支付比例10%,成交人完成所有项目工作内容，提交相应成果，并经采购人验收后，采购人支付10%服务费给成交人。 注：采购人原则上应当自收到发票后10个工作日内将资金支付到合同约定的供应商账户。</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1期：按合同要求进行验收。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要求，1.承包方式，采用全包干形式，即业务包干、经费包干及责任包干方式。按成交价格、招标文件及合同相关约定支付费用，成交供应商需按采购人的管理要求和标准开展城市生活垃圾分类第三方评估、生活垃圾分类知晓率和参与率调查评估、编制垃圾分类相关工作指引文件、开展分类技术培训和业务指导，以及提供日常管理咨询技术服务等技术服务工作等工作，并接受采购人的指导、监督和检查验收，不得将业务转包或分包。2.报价要求：投标报价包含但不限于项目技术服务费、管理费用、合理利润、风险金、赔偿金等成交供应商为提供本合同约定的服务所支出的所有费用，采购人无需支付任何额外费用，成交供应商不得以任何理由要求改变合同总额。3.成交供应商承包本项目后不得转包，否则视为成交供应商违约，采购人有权单方解除合同，若采购人因此遭受经济损失或发生事故的，由成交供应商承担赔偿责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茂名市城市生活垃圾分类全过程咨询技术服务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茂名市城市生活垃圾分类全过程咨询技术服务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w:t>
            </w:r>
            <w:r>
              <w:rPr>
                <w:b/>
                <w:sz w:val="21"/>
              </w:rPr>
              <w:t>项目概述</w:t>
            </w:r>
          </w:p>
          <w:p>
            <w:pPr>
              <w:pStyle w:val="null3"/>
              <w:ind w:firstLine="480"/>
              <w:jc w:val="both"/>
            </w:pPr>
            <w:r>
              <w:rPr>
                <w:sz w:val="21"/>
              </w:rPr>
              <w:t xml:space="preserve">   为切实落实国家、省关于城市生活垃圾分类评估工作的有关要求，推动茂名市城市生活垃圾分类工作提质增效，切实完成省、市目标任务，到</w:t>
            </w:r>
            <w:r>
              <w:rPr>
                <w:sz w:val="21"/>
              </w:rPr>
              <w:t>2025</w:t>
            </w:r>
            <w:r>
              <w:rPr>
                <w:sz w:val="21"/>
              </w:rPr>
              <w:t>年达到“一档”要求。根据住房城乡建设部、省住房城乡建设厅关于城市生活垃圾分类工作的相关评估办法，以及《茂名市城市生活垃圾分类工作方案》《贯彻茂名市生活垃圾分类管理条例实施意见》《茂名市城市生活垃圾分类提档增效工作方案（</w:t>
            </w:r>
            <w:r>
              <w:rPr>
                <w:sz w:val="21"/>
              </w:rPr>
              <w:t>2023-2025</w:t>
            </w:r>
            <w:r>
              <w:rPr>
                <w:sz w:val="21"/>
              </w:rPr>
              <w:t>年）》的有关工作要求，计划继续委托第三方技术服务公司为我市开展城市生活垃圾分类第三方评估、生活垃圾分类知晓率和参与率调查评估、编制生活垃圾分类相关工作指引文件、开展分类技术培训和业务指导，以及提供日常管理咨询技术服务等技术服务工作。</w:t>
            </w:r>
          </w:p>
          <w:p>
            <w:pPr>
              <w:pStyle w:val="null3"/>
              <w:ind w:firstLine="480"/>
              <w:jc w:val="both"/>
            </w:pPr>
            <w:r>
              <w:rPr>
                <w:b/>
                <w:sz w:val="21"/>
              </w:rPr>
              <w:t>二、项目工作内容</w:t>
            </w:r>
          </w:p>
          <w:p>
            <w:pPr>
              <w:pStyle w:val="null3"/>
              <w:ind w:firstLine="480"/>
              <w:jc w:val="both"/>
            </w:pPr>
            <w:r>
              <w:rPr>
                <w:sz w:val="21"/>
              </w:rPr>
              <w:t>（</w:t>
            </w:r>
            <w:r>
              <w:rPr>
                <w:sz w:val="21"/>
              </w:rPr>
              <w:t>1</w:t>
            </w:r>
            <w:r>
              <w:rPr>
                <w:sz w:val="21"/>
              </w:rPr>
              <w:t>）开展茂名市城市生活垃圾分类评估工作</w:t>
            </w:r>
          </w:p>
          <w:p>
            <w:pPr>
              <w:pStyle w:val="null3"/>
              <w:ind w:firstLine="420"/>
              <w:jc w:val="both"/>
            </w:pPr>
            <w:r>
              <w:rPr>
                <w:sz w:val="21"/>
              </w:rPr>
              <w:t>根据住房城乡建设部最新调整的《城市生活垃圾分类工作评估细则》要求，以及国家、省关于城市生活垃圾分类提质增效的工作要求，结合《茂名市城市生活垃圾分类提档增效工作方案（</w:t>
            </w:r>
            <w:r>
              <w:rPr>
                <w:sz w:val="21"/>
              </w:rPr>
              <w:t>2023-2025</w:t>
            </w:r>
            <w:r>
              <w:rPr>
                <w:sz w:val="21"/>
              </w:rPr>
              <w:t>年）》的目标任务，对照茂名市工作实际，进一步修订《茂名市城市生活垃圾分类工作评估办法（</w:t>
            </w:r>
            <w:r>
              <w:rPr>
                <w:sz w:val="21"/>
              </w:rPr>
              <w:t>2023-2025</w:t>
            </w:r>
            <w:r>
              <w:rPr>
                <w:sz w:val="21"/>
              </w:rPr>
              <w:t>年）》，有效推动各地抓好工作责任落实。根据修订后的评估办法，开展</w:t>
            </w:r>
            <w:r>
              <w:rPr>
                <w:sz w:val="21"/>
              </w:rPr>
              <w:t>2024</w:t>
            </w:r>
            <w:r>
              <w:rPr>
                <w:sz w:val="21"/>
              </w:rPr>
              <w:t>、</w:t>
            </w:r>
            <w:r>
              <w:rPr>
                <w:sz w:val="21"/>
              </w:rPr>
              <w:t>2025</w:t>
            </w:r>
            <w:r>
              <w:rPr>
                <w:sz w:val="21"/>
              </w:rPr>
              <w:t>年茂名市城市生活垃圾分类第三方评估工作，每季度对各区、县级市城市生活垃圾分类工作进行量化评估。</w:t>
            </w:r>
          </w:p>
          <w:p>
            <w:pPr>
              <w:pStyle w:val="null3"/>
              <w:ind w:firstLine="480"/>
              <w:jc w:val="both"/>
            </w:pPr>
            <w:r>
              <w:rPr>
                <w:sz w:val="21"/>
              </w:rPr>
              <w:t>（</w:t>
            </w:r>
            <w:r>
              <w:rPr>
                <w:sz w:val="21"/>
              </w:rPr>
              <w:t>2</w:t>
            </w:r>
            <w:r>
              <w:rPr>
                <w:sz w:val="21"/>
              </w:rPr>
              <w:t>）开展居民生活垃圾分类知晓率、参与度调查</w:t>
            </w:r>
          </w:p>
          <w:p>
            <w:pPr>
              <w:pStyle w:val="null3"/>
              <w:ind w:firstLine="420"/>
              <w:jc w:val="both"/>
            </w:pPr>
            <w:r>
              <w:rPr>
                <w:sz w:val="21"/>
              </w:rPr>
              <w:t>根据住房城乡建设部关于城市生活垃圾分类的评估要求，每年各地级以上城市至少要开展</w:t>
            </w:r>
            <w:r>
              <w:rPr>
                <w:sz w:val="21"/>
              </w:rPr>
              <w:t>1</w:t>
            </w:r>
            <w:r>
              <w:rPr>
                <w:sz w:val="21"/>
              </w:rPr>
              <w:t>次城区居民生活垃圾分类知晓率、参与度的调查，并上传第三方机构出具的调查报告。计划在茂名市城区范围内开展两次居民垃圾分类知晓率、参与度调研，编制第三方调研报告。</w:t>
            </w:r>
          </w:p>
          <w:p>
            <w:pPr>
              <w:pStyle w:val="null3"/>
              <w:ind w:firstLine="480"/>
              <w:jc w:val="both"/>
            </w:pPr>
            <w:r>
              <w:rPr>
                <w:sz w:val="21"/>
              </w:rPr>
              <w:t>（</w:t>
            </w:r>
            <w:r>
              <w:rPr>
                <w:sz w:val="21"/>
              </w:rPr>
              <w:t>3</w:t>
            </w:r>
            <w:r>
              <w:rPr>
                <w:sz w:val="21"/>
              </w:rPr>
              <w:t>）开展生活垃圾分类技术培训和业务指导</w:t>
            </w:r>
          </w:p>
          <w:p>
            <w:pPr>
              <w:pStyle w:val="null3"/>
              <w:ind w:firstLine="420"/>
              <w:jc w:val="both"/>
            </w:pPr>
            <w:r>
              <w:rPr>
                <w:sz w:val="21"/>
              </w:rPr>
              <w:t>根据住房城乡建设部关于</w:t>
            </w:r>
            <w:r>
              <w:rPr>
                <w:sz w:val="21"/>
              </w:rPr>
              <w:t>“开展常态化的技术培训和业务指导”的要求，针对茂名市城市生活垃圾分类工作短板和弱项情况，制定符合茂名市实际的技术培训和业务指导方案，每季度开展一次业务指导，对茂名市在住房城乡建设部《生活垃圾分类工作评估管理信息平台》上的填报内容及得分情况进行分析，针对存在的问题和疑问提供专业指导意见，提出合理可行的工作建议。每半年开展一次专业技术培训，对领导小组成员单位、相关行业主管部门、属地政府、相关责任主体等进行培训，提供先进经验做法和工作建议。安排生活垃圾分类技术人员为茂名市提供专业的日常管理咨询技术服务，按照茂名市的要求，协助开展城市生活垃圾分类管理工作，提高工作专业水平。</w:t>
            </w:r>
          </w:p>
          <w:p>
            <w:pPr>
              <w:pStyle w:val="null3"/>
              <w:ind w:firstLine="480"/>
              <w:jc w:val="both"/>
            </w:pPr>
            <w:r>
              <w:rPr>
                <w:sz w:val="21"/>
              </w:rPr>
              <w:t>（</w:t>
            </w:r>
            <w:r>
              <w:rPr>
                <w:sz w:val="21"/>
              </w:rPr>
              <w:t>4</w:t>
            </w:r>
            <w:r>
              <w:rPr>
                <w:sz w:val="21"/>
              </w:rPr>
              <w:t>）开展生活垃圾分类相关工作指引文件编制</w:t>
            </w:r>
          </w:p>
          <w:p>
            <w:pPr>
              <w:pStyle w:val="null3"/>
              <w:ind w:firstLine="420"/>
              <w:jc w:val="both"/>
            </w:pPr>
            <w:r>
              <w:rPr>
                <w:sz w:val="21"/>
              </w:rPr>
              <w:t>根据住房城乡建设部最新调整的《城市生活垃圾分类工作评估细则》要求，针对茂名市的缺项和弱项，编制生活垃圾分类关键工作的实施指引文件，包括校园生活垃圾分类教育和实践工作指引、党建引领生活垃圾分类四级联动工作指引、生活垃圾分类</w:t>
            </w:r>
            <w:r>
              <w:rPr>
                <w:sz w:val="21"/>
              </w:rPr>
              <w:t>“五位一体”联动机制工作指引等，并对照最新评估要求，对《茂名市城市生活垃圾分类工作指引》内容进行修订整合，落实生活垃圾分类“四级联动”“五位一体”联动，建立垃圾分类教育长效机制，推动基层社区治理，为各级各单位对标住房城乡建设部相关工作要求开展工作提供实施指引、信息报送模板，有效促进工作推进，规范信息材料报送，避免工作开展不到位、佐证材料提供不详实等造成扣分。</w:t>
            </w:r>
          </w:p>
          <w:p>
            <w:pPr>
              <w:pStyle w:val="null3"/>
              <w:ind w:firstLine="480"/>
              <w:jc w:val="both"/>
            </w:pPr>
            <w:r>
              <w:rPr>
                <w:b/>
                <w:sz w:val="21"/>
              </w:rPr>
              <w:t>三、其他</w:t>
            </w:r>
            <w:r>
              <w:rPr>
                <w:b/>
                <w:sz w:val="21"/>
              </w:rPr>
              <w:t>工作</w:t>
            </w:r>
            <w:r>
              <w:rPr>
                <w:b/>
                <w:sz w:val="21"/>
              </w:rPr>
              <w:t>要求</w:t>
            </w:r>
          </w:p>
          <w:p>
            <w:pPr>
              <w:pStyle w:val="null3"/>
              <w:ind w:firstLine="210"/>
              <w:jc w:val="both"/>
            </w:pPr>
            <w:r>
              <w:rPr>
                <w:sz w:val="21"/>
              </w:rPr>
              <w:t>1</w:t>
            </w:r>
            <w:r>
              <w:rPr>
                <w:sz w:val="21"/>
              </w:rPr>
              <w:t>.</w:t>
            </w:r>
            <w:r>
              <w:rPr>
                <w:sz w:val="21"/>
              </w:rPr>
              <w:t>根据住房城乡建设部关于“开展常态化的技术培训和业务指导”的要求，制定符合茂名市实际的技术培训和业务指导方案，并按计划安排，</w:t>
            </w:r>
            <w:r>
              <w:rPr>
                <w:sz w:val="21"/>
              </w:rPr>
              <w:t>2024</w:t>
            </w:r>
            <w:r>
              <w:rPr>
                <w:sz w:val="21"/>
              </w:rPr>
              <w:t>年、</w:t>
            </w:r>
            <w:r>
              <w:rPr>
                <w:sz w:val="21"/>
              </w:rPr>
              <w:t>2025</w:t>
            </w:r>
            <w:r>
              <w:rPr>
                <w:sz w:val="21"/>
              </w:rPr>
              <w:t>年每季度开展一次业务指导，每半年开展一次专业技术培训。</w:t>
            </w:r>
          </w:p>
          <w:p>
            <w:pPr>
              <w:pStyle w:val="null3"/>
              <w:ind w:firstLine="210"/>
              <w:jc w:val="both"/>
            </w:pPr>
            <w:r>
              <w:rPr>
                <w:sz w:val="21"/>
              </w:rPr>
              <w:t>2</w:t>
            </w:r>
            <w:r>
              <w:rPr>
                <w:sz w:val="21"/>
              </w:rPr>
              <w:t>.</w:t>
            </w:r>
            <w:r>
              <w:rPr>
                <w:sz w:val="21"/>
              </w:rPr>
              <w:t>茂名市城市生活垃圾分类评估工作根据省、市的要求，按照《茂名市城市生活垃圾分类工作评估办法（</w:t>
            </w:r>
            <w:r>
              <w:rPr>
                <w:sz w:val="21"/>
              </w:rPr>
              <w:t>2023-2025</w:t>
            </w:r>
            <w:r>
              <w:rPr>
                <w:sz w:val="21"/>
              </w:rPr>
              <w:t>年）》，</w:t>
            </w:r>
            <w:r>
              <w:rPr>
                <w:sz w:val="21"/>
              </w:rPr>
              <w:t>2024</w:t>
            </w:r>
            <w:r>
              <w:rPr>
                <w:sz w:val="21"/>
              </w:rPr>
              <w:t>年、</w:t>
            </w:r>
            <w:r>
              <w:rPr>
                <w:sz w:val="21"/>
              </w:rPr>
              <w:t>2025</w:t>
            </w:r>
            <w:r>
              <w:rPr>
                <w:sz w:val="21"/>
              </w:rPr>
              <w:t>年每季度对茂南区、电白区、高州市、化州市和信宜市等进行资料核查和现场评估，以及编制评估检查报告。</w:t>
            </w:r>
          </w:p>
          <w:p>
            <w:pPr>
              <w:pStyle w:val="null3"/>
              <w:ind w:firstLine="210"/>
              <w:jc w:val="both"/>
            </w:pPr>
            <w:r>
              <w:rPr>
                <w:sz w:val="21"/>
              </w:rPr>
              <w:t>3</w:t>
            </w:r>
            <w:r>
              <w:rPr>
                <w:sz w:val="21"/>
              </w:rPr>
              <w:t>.</w:t>
            </w:r>
            <w:r>
              <w:rPr>
                <w:sz w:val="21"/>
              </w:rPr>
              <w:t>居民生活垃圾分类知晓率、参与度调查工作按照住房城乡建设部的有关要求，结合我市本年度城市生活垃圾分类的推进情况，在</w:t>
            </w:r>
            <w:r>
              <w:rPr>
                <w:sz w:val="21"/>
              </w:rPr>
              <w:t>2024</w:t>
            </w:r>
            <w:r>
              <w:rPr>
                <w:sz w:val="21"/>
              </w:rPr>
              <w:t>年</w:t>
            </w:r>
            <w:r>
              <w:rPr>
                <w:sz w:val="21"/>
              </w:rPr>
              <w:t>7</w:t>
            </w:r>
            <w:r>
              <w:rPr>
                <w:sz w:val="21"/>
              </w:rPr>
              <w:t>月左右、</w:t>
            </w:r>
            <w:r>
              <w:rPr>
                <w:sz w:val="21"/>
              </w:rPr>
              <w:t>2025</w:t>
            </w:r>
            <w:r>
              <w:rPr>
                <w:sz w:val="21"/>
              </w:rPr>
              <w:t>年</w:t>
            </w:r>
            <w:r>
              <w:rPr>
                <w:sz w:val="21"/>
              </w:rPr>
              <w:t>7</w:t>
            </w:r>
            <w:r>
              <w:rPr>
                <w:sz w:val="21"/>
              </w:rPr>
              <w:t>月左右各组织开展</w:t>
            </w:r>
            <w:r>
              <w:rPr>
                <w:sz w:val="21"/>
              </w:rPr>
              <w:t>1</w:t>
            </w:r>
            <w:r>
              <w:rPr>
                <w:sz w:val="21"/>
              </w:rPr>
              <w:t>次第三方调查。</w:t>
            </w:r>
          </w:p>
          <w:p>
            <w:pPr>
              <w:pStyle w:val="null3"/>
              <w:ind w:firstLine="480"/>
              <w:jc w:val="both"/>
            </w:pPr>
            <w:r>
              <w:rPr>
                <w:sz w:val="21"/>
              </w:rPr>
              <w:t xml:space="preserve">  4</w:t>
            </w:r>
            <w:r>
              <w:rPr>
                <w:sz w:val="21"/>
              </w:rPr>
              <w:t>.</w:t>
            </w:r>
            <w:r>
              <w:rPr>
                <w:sz w:val="21"/>
              </w:rPr>
              <w:t>安排</w:t>
            </w:r>
            <w:r>
              <w:rPr>
                <w:sz w:val="21"/>
              </w:rPr>
              <w:t>2</w:t>
            </w:r>
            <w:r>
              <w:rPr>
                <w:sz w:val="21"/>
              </w:rPr>
              <w:t>名生活垃圾分类技术人员为茂名市提供专业的日常管理咨询技术服务，协助开展城市生活垃圾分类管理工作，服务期以</w:t>
            </w:r>
            <w:r>
              <w:rPr>
                <w:sz w:val="21"/>
              </w:rPr>
              <w:t>人员</w:t>
            </w:r>
            <w:r>
              <w:rPr>
                <w:sz w:val="21"/>
              </w:rPr>
              <w:t>到位之日起计，服务期两年。</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1.采购代理机构：本项目是指广东达禾工程管理有限公司，负责整个采购活动的组织，依法负责编制和发布磋商文件，对磋商文件拥有最终的解释权，不以任何身份出任磋商小组成员。</w:t>
      </w:r>
    </w:p>
    <w:p>
      <w:pPr>
        <w:pStyle w:val="null3"/>
        <w:ind w:firstLine="480"/>
      </w:pPr>
      <w:r>
        <w:rPr/>
        <w:t>2.采购人：本项目是指</w:t>
      </w:r>
      <w:r>
        <w:rPr/>
        <w:t>茂名市城市管理和综合执法局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采购机构代理服务收费标准：最终收费=原费用×（1-75%），需定额收取人民币伍仟柒佰伍拾元整（￥5,750.00）</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广东达禾工程管理有限公司</w:t>
      </w:r>
      <w:r>
        <w:rPr/>
        <w:t>代收。具体操作要求详见</w:t>
      </w:r>
      <w:r>
        <w:rPr/>
        <w:t>广东达禾工程管理有限公司</w:t>
      </w:r>
      <w:r>
        <w:rPr/>
        <w:t>有关指引，递交事宜请自行咨询</w:t>
      </w:r>
      <w:r>
        <w:rPr/>
        <w:t>广东达禾工程管理有限公司</w:t>
      </w:r>
      <w:r>
        <w:rPr/>
        <w:t>；请各供应商在响应文件递交截止时间前按须知前附表规定的金额递交至</w:t>
      </w:r>
      <w:r>
        <w:rPr/>
        <w:t>广东达禾工程管理有限公司</w:t>
      </w:r>
      <w:r>
        <w:rPr/>
        <w:t>，到账情况以开启时</w:t>
      </w:r>
      <w:r>
        <w:rPr/>
        <w:t>广东达禾工程管理有限公司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詹先生</w:t>
      </w:r>
    </w:p>
    <w:p>
      <w:pPr>
        <w:pStyle w:val="null3"/>
        <w:ind w:firstLine="480"/>
      </w:pPr>
      <w:r>
        <w:rPr/>
        <w:t>电话：</w:t>
      </w:r>
      <w:r>
        <w:rPr/>
        <w:t>0668-2998639</w:t>
      </w:r>
    </w:p>
    <w:p>
      <w:pPr>
        <w:pStyle w:val="null3"/>
        <w:ind w:firstLine="480"/>
      </w:pPr>
      <w:r>
        <w:rPr/>
        <w:t>传真：</w:t>
      </w:r>
      <w:r>
        <w:rPr/>
        <w:t>/</w:t>
      </w:r>
    </w:p>
    <w:p>
      <w:pPr>
        <w:pStyle w:val="null3"/>
        <w:ind w:firstLine="480"/>
      </w:pPr>
      <w:r>
        <w:rPr/>
        <w:t>邮箱：</w:t>
      </w:r>
      <w:r>
        <w:rPr/>
        <w:t>gddhzb@163.com</w:t>
      </w:r>
    </w:p>
    <w:p>
      <w:pPr>
        <w:pStyle w:val="null3"/>
        <w:ind w:firstLine="480"/>
      </w:pPr>
      <w:r>
        <w:rPr/>
        <w:t>地址：</w:t>
      </w:r>
      <w:r>
        <w:rPr/>
        <w:t>茂名市光华南路118号6楼602</w:t>
      </w:r>
    </w:p>
    <w:p>
      <w:pPr>
        <w:pStyle w:val="null3"/>
        <w:ind w:firstLine="480"/>
      </w:pPr>
      <w:r>
        <w:rPr/>
        <w:t>邮编：</w:t>
      </w:r>
      <w:r>
        <w:rPr/>
        <w:t>525000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茂名市城市生活垃圾分类全过程咨询技术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广东达禾工程管理有限公司</w:t>
      </w:r>
      <w:r>
        <w:rPr/>
        <w:t>统一对外发布。</w:t>
      </w:r>
    </w:p>
    <w:p>
      <w:pPr>
        <w:pStyle w:val="null3"/>
        <w:ind w:firstLine="480"/>
      </w:pPr>
      <w:r>
        <w:rPr/>
        <w:t>（2）对</w:t>
      </w:r>
      <w:r>
        <w:rPr/>
        <w:t>广东达禾工程管理有限公司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采购包1（茂名市城市生活垃圾分类全过程咨询技术服务项目）：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采购包1（茂名市城市生活垃圾分类全过程咨询技术服务项目）：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提供《茂名市政府采购投标人资格信用承诺函》。（格式详见公告附件）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提供《茂名市政府采购投标人资格信用承诺函》。（格式详见公告附件）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提供《茂名市政府采购投标人资格信用承诺函》。（格式详见公告附件）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提供《茂名市政府采购投标人资格信用承诺函》。（格式详见公告附件）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中小企业</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p>
    <w:p>
      <w:pPr>
        <w:pStyle w:val="null3"/>
      </w:pPr>
      <w:r>
        <w:rPr/>
        <w:t>采购包1（茂名市城市生活垃圾分类全过程咨询技术服务项目）：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按竞争性磋商文件要求编制，并按竞争性磋商文件规定加盖公章和签署</w:t>
            </w:r>
          </w:p>
        </w:tc>
        <w:tc>
          <w:tcPr>
            <w:tcW w:type="dxa" w:w="4238"/>
          </w:tcPr>
          <w:p>
            <w:pPr>
              <w:pStyle w:val="null3"/>
            </w:pPr>
            <w:r>
              <w:rPr/>
              <w:t>按竞争性磋商文件要求编制，并按竞争性磋商文件规定加盖公章和签署。</w:t>
            </w:r>
          </w:p>
        </w:tc>
      </w:tr>
      <w:tr>
        <w:tc>
          <w:tcPr>
            <w:tcW w:type="dxa" w:w="890"/>
          </w:tcPr>
          <w:p>
            <w:pPr>
              <w:pStyle w:val="null3"/>
            </w:pPr>
            <w:r>
              <w:rPr/>
              <w:t>2</w:t>
            </w:r>
          </w:p>
        </w:tc>
        <w:tc>
          <w:tcPr>
            <w:tcW w:type="dxa" w:w="3178"/>
          </w:tcPr>
          <w:p>
            <w:pPr>
              <w:pStyle w:val="null3"/>
            </w:pPr>
            <w:r>
              <w:rPr/>
              <w:t>按格式要求签署《响应承诺函》</w:t>
            </w:r>
          </w:p>
        </w:tc>
        <w:tc>
          <w:tcPr>
            <w:tcW w:type="dxa" w:w="4238"/>
          </w:tcPr>
          <w:p>
            <w:pPr>
              <w:pStyle w:val="null3"/>
            </w:pPr>
            <w:r>
              <w:rPr/>
              <w:t>按格式要求签署《响应承诺函》。</w:t>
            </w:r>
          </w:p>
        </w:tc>
      </w:tr>
      <w:tr>
        <w:tc>
          <w:tcPr>
            <w:tcW w:type="dxa" w:w="890"/>
          </w:tcPr>
          <w:p>
            <w:pPr>
              <w:pStyle w:val="null3"/>
            </w:pPr>
            <w:r>
              <w:rPr/>
              <w:t>3</w:t>
            </w:r>
          </w:p>
        </w:tc>
        <w:tc>
          <w:tcPr>
            <w:tcW w:type="dxa" w:w="3178"/>
          </w:tcPr>
          <w:p>
            <w:pPr>
              <w:pStyle w:val="null3"/>
            </w:pPr>
            <w:r>
              <w:rPr/>
              <w:t>按格式要求签署法定代表人证明书及授权委托书 （注：法定代表人投标的只须提供法定代表人证明书）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投标报价唯一确定、有效合理，未超过竞争性磋商文件中列出的投标限价</w:t>
            </w:r>
          </w:p>
        </w:tc>
        <w:tc>
          <w:tcPr>
            <w:tcW w:type="dxa" w:w="4238"/>
          </w:tcPr>
          <w:p>
            <w:pPr>
              <w:pStyle w:val="null3"/>
            </w:pPr>
            <w:r>
              <w:rPr/>
              <w:t>投标报价唯一确定、有效合理，未超过竞争性磋商文件中列出的投标限价。</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采购包1(茂名市城市生活垃圾分类全过程咨询技术服务项目):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项目的分析情况和熟悉程度 (10.0分)</w:t>
            </w:r>
          </w:p>
        </w:tc>
        <w:tc>
          <w:tcPr>
            <w:tcW w:type="dxa" w:w="5076"/>
          </w:tcPr>
          <w:p>
            <w:pPr>
              <w:pStyle w:val="null3"/>
              <w:jc w:val="left"/>
            </w:pPr>
            <w:r>
              <w:rPr/>
              <w:t>对项目工作背景、工作目标与思路、工作内容、服务要求、服务区域城市生活垃圾分类现状的理解程度：（1）对项目背景熟悉，项目目标与思路、项目内容与时间要求理解透彻，对项目服务要求、服务区域城市生活垃圾分类收运处理现状、分类管理现状理解完全符合项目需求，得10分；（2）对项目背景较为熟悉，项目目标与思路、项目内容与时间要求的理解较为透彻，对项目服务要求、服务区域城市生活垃圾分类收运处理现状、分类管理现状理解较符合项目需求得7分；（3）对项目背景基本熟悉，项目目标与思路、项目内容与时间要求的理解基本透彻，对项目服务要求、服务区域城市生活垃圾分类收运处理现状、分类管理现状理解基本符合项目需求得4分；（4）对项目背景不熟悉，项目目标与思路、项目内容与时间要求的理解有偏差，对项目服务要求、服务区域城市生活垃圾分类收运处理现状、分类管理现状理解难以符合项目需求，得1分；（5）不提供不得分。</w:t>
            </w:r>
          </w:p>
        </w:tc>
      </w:tr>
      <w:tr>
        <w:tc>
          <w:tcPr>
            <w:tcW w:type="dxa" w:w="922"/>
            <w:gridSpan w:val="2"/>
            <w:vMerge/>
          </w:tcPr>
          <w:p/>
        </w:tc>
        <w:tc>
          <w:tcPr>
            <w:tcW w:type="dxa" w:w="2307"/>
          </w:tcPr>
          <w:p>
            <w:pPr>
              <w:pStyle w:val="null3"/>
              <w:jc w:val="left"/>
            </w:pPr>
            <w:r>
              <w:rPr/>
              <w:t>组织实施方案 (10.0分)</w:t>
            </w:r>
          </w:p>
        </w:tc>
        <w:tc>
          <w:tcPr>
            <w:tcW w:type="dxa" w:w="5076"/>
          </w:tcPr>
          <w:p>
            <w:pPr>
              <w:pStyle w:val="null3"/>
              <w:jc w:val="left"/>
            </w:pPr>
            <w:r>
              <w:rPr/>
              <w:t>对本项目拟制定的组织实施方案合理安排程度，实施方案内容包括但不限于实施人员组成、政策文件编制工作实施过程、评估工作实施过程、调查工作实施过程和培训指导实施过程等：（1）实施方案人员安排满足实施需要，各项工作实施过程详细完整、合理可行性高的，得10分；（2）实施方案人员安排基本满足实施需要，各项工作实施过程较完整、合理可行性较好的，得7分；（3）实施方案人员安排难以满足实施需要，各项工作实施过程基本完整、合理可行性一般的，得4分；（4）实施方案缺漏不可行，得1分；（5）无相关内容或其他，得0分。</w:t>
            </w:r>
          </w:p>
        </w:tc>
      </w:tr>
      <w:tr>
        <w:tc>
          <w:tcPr>
            <w:tcW w:type="dxa" w:w="922"/>
            <w:gridSpan w:val="2"/>
            <w:vMerge/>
          </w:tcPr>
          <w:p/>
        </w:tc>
        <w:tc>
          <w:tcPr>
            <w:tcW w:type="dxa" w:w="2307"/>
          </w:tcPr>
          <w:p>
            <w:pPr>
              <w:pStyle w:val="null3"/>
              <w:jc w:val="left"/>
            </w:pPr>
            <w:r>
              <w:rPr/>
              <w:t>工作计划情况 (10.0分)</w:t>
            </w:r>
          </w:p>
        </w:tc>
        <w:tc>
          <w:tcPr>
            <w:tcW w:type="dxa" w:w="5076"/>
          </w:tcPr>
          <w:p>
            <w:pPr>
              <w:pStyle w:val="null3"/>
              <w:jc w:val="left"/>
            </w:pPr>
            <w:r>
              <w:rPr/>
              <w:t>根据本项目所在地的生活垃圾分类工作现状情况及采购人需求，制定工作计划（包括但不限于工作时间计划表、各环节时间安排合理等）：（1）工作计划措施具体，工作时间计划表、各环节时间安排合理，衔接性、可操作性强，得10分；（2）工作计划措施较具体，工作时间计划表、各环节时间安排较合理，衔接性、可操作性较强，得7分；（3）工作计划措施一般，工作时间计划表、各环节时间安排基本合理，衔接性、可操作性不强，得4分；（4）工作时间计划内容不全，各环节时间安排不合理，衔接性、实操性差，得1分；（5）无相关内容或其他，得0分。</w:t>
            </w:r>
          </w:p>
        </w:tc>
      </w:tr>
      <w:tr>
        <w:tc>
          <w:tcPr>
            <w:tcW w:type="dxa" w:w="922"/>
            <w:gridSpan w:val="2"/>
            <w:vMerge/>
          </w:tcPr>
          <w:p/>
        </w:tc>
        <w:tc>
          <w:tcPr>
            <w:tcW w:type="dxa" w:w="2307"/>
          </w:tcPr>
          <w:p>
            <w:pPr>
              <w:pStyle w:val="null3"/>
              <w:jc w:val="left"/>
            </w:pPr>
            <w:r>
              <w:rPr/>
              <w:t>重难点问题分析 (10.0分)</w:t>
            </w:r>
          </w:p>
        </w:tc>
        <w:tc>
          <w:tcPr>
            <w:tcW w:type="dxa" w:w="5076"/>
          </w:tcPr>
          <w:p>
            <w:pPr>
              <w:pStyle w:val="null3"/>
              <w:jc w:val="left"/>
            </w:pPr>
            <w:r>
              <w:rPr/>
              <w:t>对本项目工作重点、难点分析以及解决措施，包括但不限于机制体制建设、分类投放、分类收集运输、分类处理工作等方面：（1）对项目的重点、难点把握准确到位，提出的建议科学、合理，得10分；（2）对项目的重点、难点把握较为准确，提出的建议较为科学、合理，得7分；（3）对项目的重点、难点把握准确基本到位，提出的建议具有一定的科学性、合理性，得4分；（4）对项目的重点、难点把握准确不到位，提出的建议不具有科学性、合理性，得1分；（5）无相关内容或其他不得分。</w:t>
            </w:r>
          </w:p>
        </w:tc>
      </w:tr>
      <w:tr>
        <w:tc>
          <w:tcPr>
            <w:tcW w:type="dxa" w:w="922"/>
            <w:gridSpan w:val="2"/>
            <w:vMerge/>
          </w:tcPr>
          <w:p/>
        </w:tc>
        <w:tc>
          <w:tcPr>
            <w:tcW w:type="dxa" w:w="2307"/>
          </w:tcPr>
          <w:p>
            <w:pPr>
              <w:pStyle w:val="null3"/>
              <w:jc w:val="left"/>
            </w:pPr>
            <w:r>
              <w:rPr/>
              <w:t>合理化建议 (10.0分)</w:t>
            </w:r>
          </w:p>
        </w:tc>
        <w:tc>
          <w:tcPr>
            <w:tcW w:type="dxa" w:w="5076"/>
          </w:tcPr>
          <w:p>
            <w:pPr>
              <w:pStyle w:val="null3"/>
              <w:jc w:val="left"/>
            </w:pPr>
            <w:r>
              <w:rPr/>
              <w:t>对本项目实施过程中，涉及的推动落实生活垃圾分类“四级联动”“五位一体”，建立垃圾分类教育长效机制，推动基层社区治理等工作，提出更高效达到工作目标的建议：（1）合理化建议科学合理，亮点多，针对性强，得10分；（2）合理化建议有一定特点，亮点较多，针对性一般，得7分；（3）合理化建议基本可行，亮点少，针对性不强，得4分；（4）合理化建议不符合实际，无亮点，无针对性，得1分；（5）无相关内容或其他不得分。</w:t>
            </w:r>
          </w:p>
        </w:tc>
      </w:tr>
      <w:tr>
        <w:tc>
          <w:tcPr>
            <w:tcW w:type="dxa" w:w="922"/>
            <w:gridSpan w:val="2"/>
            <w:vMerge/>
          </w:tcPr>
          <w:p/>
        </w:tc>
        <w:tc>
          <w:tcPr>
            <w:tcW w:type="dxa" w:w="2307"/>
          </w:tcPr>
          <w:p>
            <w:pPr>
              <w:pStyle w:val="null3"/>
              <w:jc w:val="left"/>
            </w:pPr>
            <w:r>
              <w:rPr/>
              <w:t>质量控制和技术保障 (10.0分)</w:t>
            </w:r>
          </w:p>
        </w:tc>
        <w:tc>
          <w:tcPr>
            <w:tcW w:type="dxa" w:w="5076"/>
          </w:tcPr>
          <w:p>
            <w:pPr>
              <w:pStyle w:val="null3"/>
              <w:jc w:val="left"/>
            </w:pPr>
            <w:r>
              <w:rPr/>
              <w:t>根据本项目服务需求制定的保障体系：（1）技术力量、实施进度、成果质量、后期服务保障措施全面、可行性高，对本项目服务地区长期跟踪研究服务能力好的，得10分；（2）技术力量、实施进度、成果质量、后期服务保障措施较全面、可行性较高，对本地区长期跟踪研究服务能力较好，得7分；（3）技术力量、实施进度、成果质量、后期服务保障措施基本全面、可行性一般，对本地区长期跟踪研究服务能力一般，得4分；（4）技术力量、实施进度、成果质量、后期服务保障措施不全面、不可行，不具备对本地区长期跟踪研究服务的能力的，得1分；（5）无相关内容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具有有效期内的环境管理体系认证证书、职业健康安全管理体系认证证书、质量管理体系认证证书的，每一个得2分，最高得6分。注：需提供证书复印件或有效的网络查询途径等证明文件并加盖公章，不提供不得分。</w:t>
            </w:r>
          </w:p>
        </w:tc>
      </w:tr>
      <w:tr>
        <w:tc>
          <w:tcPr>
            <w:tcW w:type="dxa" w:w="922"/>
            <w:gridSpan w:val="2"/>
            <w:vMerge/>
          </w:tcPr>
          <w:p/>
        </w:tc>
        <w:tc>
          <w:tcPr>
            <w:tcW w:type="dxa" w:w="2307"/>
          </w:tcPr>
          <w:p>
            <w:pPr>
              <w:pStyle w:val="null3"/>
              <w:jc w:val="left"/>
            </w:pPr>
            <w:r>
              <w:rPr/>
              <w:t>项目经验 (10.0分)</w:t>
            </w:r>
          </w:p>
        </w:tc>
        <w:tc>
          <w:tcPr>
            <w:tcW w:type="dxa" w:w="5076"/>
          </w:tcPr>
          <w:p>
            <w:pPr>
              <w:pStyle w:val="null3"/>
              <w:jc w:val="left"/>
            </w:pPr>
            <w:r>
              <w:rPr/>
              <w:t>自2020年至今，承接生活垃圾分类第三方评估、技术服务等业绩证明文件，每项得1分；最高得10分。没有提供有效证明的不得分。注：须提供合同或中标通知书复印件并加盖公章。</w:t>
            </w:r>
          </w:p>
        </w:tc>
      </w:tr>
      <w:tr>
        <w:tc>
          <w:tcPr>
            <w:tcW w:type="dxa" w:w="922"/>
            <w:gridSpan w:val="2"/>
            <w:vMerge/>
          </w:tcPr>
          <w:p/>
        </w:tc>
        <w:tc>
          <w:tcPr>
            <w:tcW w:type="dxa" w:w="2307"/>
          </w:tcPr>
          <w:p>
            <w:pPr>
              <w:pStyle w:val="null3"/>
              <w:jc w:val="left"/>
            </w:pPr>
            <w:r>
              <w:rPr/>
              <w:t>拟投入项目团队技术实力 (12.0分)</w:t>
            </w:r>
          </w:p>
        </w:tc>
        <w:tc>
          <w:tcPr>
            <w:tcW w:type="dxa" w:w="5076"/>
          </w:tcPr>
          <w:p>
            <w:pPr>
              <w:pStyle w:val="null3"/>
              <w:jc w:val="left"/>
            </w:pPr>
            <w:r>
              <w:rPr/>
              <w:t>（1）项目负责人：①具有正高级职称得1分，具有副高级职称得0.6分，具有中级职称（工程师）得0.3分；②具有咨询工程师（投资）登记证（证书登记单位和投标人一致），得1分。本项最高得2分。（2）技术负责人：①具有正高级职称得1分，具有副高级职称得0.6分，具有中级职称（工程师）得0.3分；②具有咨询工程师（投资）登记证（证书登记单位和投标人一致），得1分。本项最高得2分。（3）质量负责人：①具有正高级职称得1分，具有副高级职称得0.6分，具有中级职称（工程师）得0.3分；②具有咨询工程师（投资）登记证（证书登记单位和投标人一致），得1分。本项最高得2分。（4）技术人员：①具有副高级职称及以上职称，每人得1分；②具有中级职称（工程师），每人得0.5分；③具有环境相关专业（包括但不限于环境工程、环境科学、给排水等）硕士研究生学历，每人得0.3分。本项最高得6分。注：①教授、研究员等职称与正高级职称等同；副教授、副研究员、高级工程师等职称与副高级职称等同；②以上人员不重复计分；③供应商须提供项目团队所有人员的职称证书、执业资格证书等证明材料的扫描件及最近3个月任意1个月社保缴纳记录或社保证明材料的复印件并加盖公章，否则不得分。</w:t>
            </w:r>
          </w:p>
        </w:tc>
      </w:tr>
      <w:tr>
        <w:tc>
          <w:tcPr>
            <w:tcW w:type="dxa" w:w="922"/>
            <w:gridSpan w:val="2"/>
            <w:vMerge/>
          </w:tcPr>
          <w:p/>
        </w:tc>
        <w:tc>
          <w:tcPr>
            <w:tcW w:type="dxa" w:w="2307"/>
          </w:tcPr>
          <w:p>
            <w:pPr>
              <w:pStyle w:val="null3"/>
              <w:jc w:val="left"/>
            </w:pPr>
            <w:r>
              <w:rPr/>
              <w:t>服务评价 (2.0分)</w:t>
            </w:r>
          </w:p>
        </w:tc>
        <w:tc>
          <w:tcPr>
            <w:tcW w:type="dxa" w:w="5076"/>
          </w:tcPr>
          <w:p>
            <w:pPr>
              <w:pStyle w:val="null3"/>
              <w:jc w:val="left"/>
            </w:pPr>
            <w:r>
              <w:rPr/>
              <w:t>提供自2020年至今，同类项目业绩中获得过业主好评（即评价为非常满意/满意/优秀，或业主服务感谢信，或同等级别）的，每提供一份评价得0.5分，最高得2分。注：须提供业主好评证明资料，扫描件及相应的项目合同扫描件并加盖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ind w:firstLine="480"/>
        <w:jc w:val="center"/>
      </w:pPr>
      <w:r>
        <w:rPr>
          <w:b/>
          <w:sz w:val="24"/>
        </w:rPr>
        <w:t>合</w:t>
      </w:r>
      <w:r>
        <w:rPr>
          <w:b/>
          <w:sz w:val="24"/>
        </w:rPr>
        <w:t>同</w:t>
      </w:r>
      <w:r>
        <w:rPr>
          <w:b/>
          <w:sz w:val="24"/>
        </w:rPr>
        <w:t>书</w:t>
      </w:r>
    </w:p>
    <w:p>
      <w:pPr>
        <w:pStyle w:val="null3"/>
        <w:ind w:firstLine="480"/>
        <w:jc w:val="both"/>
      </w:pPr>
      <w:r>
        <w:rPr>
          <w:sz w:val="21"/>
        </w:rPr>
        <w:t xml:space="preserve"> </w:t>
      </w:r>
    </w:p>
    <w:p>
      <w:pPr>
        <w:pStyle w:val="null3"/>
        <w:ind w:firstLine="480"/>
        <w:jc w:val="both"/>
      </w:pPr>
      <w:r>
        <w:rPr>
          <w:sz w:val="21"/>
        </w:rPr>
        <w:t>委托方：</w:t>
      </w:r>
      <w:r>
        <w:rPr>
          <w:sz w:val="21"/>
        </w:rPr>
        <w:t xml:space="preserve">           </w:t>
      </w:r>
      <w:r>
        <w:rPr>
          <w:sz w:val="21"/>
        </w:rPr>
        <w:t>（以下简称甲方）</w:t>
      </w:r>
    </w:p>
    <w:p>
      <w:pPr>
        <w:pStyle w:val="null3"/>
        <w:ind w:firstLine="480"/>
        <w:jc w:val="both"/>
      </w:pPr>
      <w:r>
        <w:rPr>
          <w:sz w:val="21"/>
        </w:rPr>
        <w:t>受托方：</w:t>
      </w:r>
      <w:r>
        <w:rPr>
          <w:sz w:val="21"/>
        </w:rPr>
        <w:t xml:space="preserve">           </w:t>
      </w:r>
      <w:r>
        <w:rPr>
          <w:sz w:val="21"/>
        </w:rPr>
        <w:t>（以下简称乙方）</w:t>
      </w:r>
    </w:p>
    <w:p>
      <w:pPr>
        <w:pStyle w:val="null3"/>
        <w:ind w:firstLine="480"/>
        <w:jc w:val="both"/>
      </w:pPr>
      <w:r>
        <w:rPr>
          <w:sz w:val="21"/>
        </w:rPr>
        <w:t>根据</w:t>
      </w:r>
      <w:r>
        <w:rPr>
          <w:sz w:val="21"/>
        </w:rPr>
        <w:t xml:space="preserve">         </w:t>
      </w:r>
      <w:r>
        <w:rPr>
          <w:sz w:val="21"/>
        </w:rPr>
        <w:t>项目的采购结果，为明确双方的权利和义务，保护双方合法权益，按照《中华人民共和国民法典</w:t>
      </w:r>
      <w:r>
        <w:rPr>
          <w:sz w:val="21"/>
        </w:rPr>
        <w:t>(</w:t>
      </w:r>
      <w:r>
        <w:rPr>
          <w:sz w:val="21"/>
        </w:rPr>
        <w:t>合同编</w:t>
      </w:r>
      <w:r>
        <w:rPr>
          <w:sz w:val="21"/>
        </w:rPr>
        <w:t>)</w:t>
      </w:r>
      <w:r>
        <w:rPr>
          <w:sz w:val="21"/>
        </w:rPr>
        <w:t>》《中华人民共和国政府采购法》《茂名市</w:t>
      </w:r>
      <w:r>
        <w:rPr>
          <w:sz w:val="21"/>
        </w:rPr>
        <w:t>2017</w:t>
      </w:r>
      <w:r>
        <w:rPr>
          <w:sz w:val="21"/>
        </w:rPr>
        <w:t>年财政集中采购项目及采购限额标准》及广东省政府采购相关规定，遵循平等、自愿、公平和诚信的原则，结合本项目具体情况，经双方协商一致，签订本合同，以共同遵守。</w:t>
      </w:r>
    </w:p>
    <w:p>
      <w:pPr>
        <w:pStyle w:val="null3"/>
        <w:ind w:firstLine="480"/>
        <w:jc w:val="both"/>
      </w:pPr>
      <w:r>
        <w:rPr>
          <w:b/>
          <w:sz w:val="21"/>
        </w:rPr>
        <w:t>第一条</w:t>
      </w:r>
      <w:r>
        <w:rPr>
          <w:b/>
          <w:sz w:val="21"/>
        </w:rPr>
        <w:t>项目名称</w:t>
      </w:r>
    </w:p>
    <w:p>
      <w:pPr>
        <w:pStyle w:val="null3"/>
        <w:ind w:firstLine="480"/>
        <w:jc w:val="both"/>
      </w:pPr>
      <w:r>
        <w:rPr>
          <w:sz w:val="21"/>
        </w:rPr>
        <w:t>XXXXXXX</w:t>
      </w:r>
    </w:p>
    <w:p>
      <w:pPr>
        <w:pStyle w:val="null3"/>
        <w:ind w:firstLine="480"/>
        <w:jc w:val="both"/>
      </w:pPr>
      <w:r>
        <w:rPr>
          <w:b/>
          <w:sz w:val="21"/>
        </w:rPr>
        <w:t>第二条</w:t>
      </w:r>
      <w:r>
        <w:rPr>
          <w:b/>
          <w:sz w:val="21"/>
        </w:rPr>
        <w:t>技术服务内容</w:t>
      </w:r>
    </w:p>
    <w:p>
      <w:pPr>
        <w:pStyle w:val="null3"/>
        <w:ind w:firstLine="480"/>
        <w:jc w:val="both"/>
      </w:pPr>
      <w:r>
        <w:rPr>
          <w:sz w:val="21"/>
        </w:rPr>
        <w:t>甲方聘请乙方提供以下技术服务内容：</w:t>
      </w:r>
    </w:p>
    <w:p>
      <w:pPr>
        <w:pStyle w:val="null3"/>
        <w:ind w:firstLine="480"/>
        <w:jc w:val="both"/>
      </w:pPr>
      <w:r>
        <w:rPr>
          <w:sz w:val="21"/>
        </w:rPr>
        <w:t xml:space="preserve">1.                   </w:t>
      </w:r>
      <w:r>
        <w:rPr>
          <w:sz w:val="21"/>
        </w:rPr>
        <w:t>。</w:t>
      </w:r>
    </w:p>
    <w:p>
      <w:pPr>
        <w:pStyle w:val="null3"/>
        <w:ind w:firstLine="480"/>
        <w:jc w:val="both"/>
      </w:pPr>
      <w:r>
        <w:rPr>
          <w:sz w:val="21"/>
        </w:rPr>
        <w:t xml:space="preserve">2.                   </w:t>
      </w:r>
      <w:r>
        <w:rPr>
          <w:sz w:val="21"/>
        </w:rPr>
        <w:t>。</w:t>
      </w:r>
    </w:p>
    <w:p>
      <w:pPr>
        <w:pStyle w:val="null3"/>
        <w:ind w:firstLine="480"/>
        <w:jc w:val="both"/>
      </w:pPr>
      <w:r>
        <w:rPr>
          <w:sz w:val="21"/>
        </w:rPr>
        <w:t>......</w:t>
      </w:r>
    </w:p>
    <w:p>
      <w:pPr>
        <w:pStyle w:val="null3"/>
        <w:ind w:firstLine="480"/>
        <w:jc w:val="both"/>
      </w:pPr>
      <w:r>
        <w:rPr>
          <w:b/>
          <w:sz w:val="21"/>
        </w:rPr>
        <w:t>第三条</w:t>
      </w:r>
      <w:r>
        <w:rPr>
          <w:b/>
          <w:sz w:val="21"/>
        </w:rPr>
        <w:t>成果要求</w:t>
      </w:r>
    </w:p>
    <w:p>
      <w:pPr>
        <w:pStyle w:val="null3"/>
        <w:ind w:firstLine="480"/>
        <w:jc w:val="both"/>
      </w:pPr>
      <w:r>
        <w:rPr>
          <w:sz w:val="21"/>
        </w:rPr>
        <w:t>按照技术服务内容，提供相应的技术服务工作成果。本项目的工作成果具体如下：</w:t>
      </w:r>
    </w:p>
    <w:p>
      <w:pPr>
        <w:pStyle w:val="null3"/>
        <w:ind w:firstLine="480"/>
        <w:jc w:val="both"/>
      </w:pPr>
      <w:r>
        <w:rPr>
          <w:sz w:val="21"/>
        </w:rPr>
        <w:t xml:space="preserve">1.                   </w:t>
      </w:r>
      <w:r>
        <w:rPr>
          <w:sz w:val="21"/>
        </w:rPr>
        <w:t>。</w:t>
      </w:r>
    </w:p>
    <w:p>
      <w:pPr>
        <w:pStyle w:val="null3"/>
        <w:ind w:firstLine="480"/>
        <w:jc w:val="both"/>
      </w:pPr>
      <w:r>
        <w:rPr>
          <w:sz w:val="21"/>
        </w:rPr>
        <w:t xml:space="preserve">2.                   </w:t>
      </w:r>
      <w:r>
        <w:rPr>
          <w:sz w:val="21"/>
        </w:rPr>
        <w:t>。</w:t>
      </w:r>
    </w:p>
    <w:p>
      <w:pPr>
        <w:pStyle w:val="null3"/>
        <w:ind w:firstLine="480"/>
        <w:jc w:val="both"/>
      </w:pPr>
      <w:r>
        <w:rPr>
          <w:sz w:val="21"/>
        </w:rPr>
        <w:t>......</w:t>
      </w:r>
    </w:p>
    <w:p>
      <w:pPr>
        <w:pStyle w:val="null3"/>
        <w:ind w:firstLine="480"/>
        <w:jc w:val="both"/>
      </w:pPr>
      <w:r>
        <w:rPr>
          <w:sz w:val="21"/>
        </w:rPr>
        <w:t>上述工作成果作为技术服务费的支付依据，以及项目验收审核的资料和依据。</w:t>
      </w:r>
    </w:p>
    <w:p>
      <w:pPr>
        <w:pStyle w:val="null3"/>
        <w:ind w:firstLine="480"/>
        <w:jc w:val="both"/>
      </w:pPr>
      <w:r>
        <w:rPr>
          <w:b/>
          <w:sz w:val="21"/>
        </w:rPr>
        <w:t>第四条</w:t>
      </w:r>
      <w:r>
        <w:rPr>
          <w:b/>
          <w:sz w:val="21"/>
        </w:rPr>
        <w:t>服务期限</w:t>
      </w:r>
    </w:p>
    <w:p>
      <w:pPr>
        <w:pStyle w:val="null3"/>
        <w:ind w:firstLine="480"/>
        <w:jc w:val="both"/>
      </w:pPr>
      <w:r>
        <w:rPr>
          <w:sz w:val="21"/>
        </w:rPr>
        <w:t>自合同生效之日起至合同全部权利义务履行完毕之日止。</w:t>
      </w:r>
    </w:p>
    <w:p>
      <w:pPr>
        <w:pStyle w:val="null3"/>
        <w:ind w:firstLine="480"/>
        <w:jc w:val="both"/>
      </w:pPr>
      <w:r>
        <w:rPr>
          <w:b/>
          <w:sz w:val="21"/>
        </w:rPr>
        <w:t>第五条</w:t>
      </w:r>
      <w:r>
        <w:rPr>
          <w:b/>
          <w:sz w:val="21"/>
        </w:rPr>
        <w:t>技术服务费</w:t>
      </w:r>
    </w:p>
    <w:p>
      <w:pPr>
        <w:pStyle w:val="null3"/>
        <w:ind w:firstLine="480"/>
        <w:jc w:val="both"/>
      </w:pPr>
      <w:r>
        <w:rPr>
          <w:sz w:val="21"/>
        </w:rPr>
        <w:t>总费用为人民币</w:t>
      </w:r>
      <w:r>
        <w:rPr>
          <w:sz w:val="21"/>
        </w:rPr>
        <w:t xml:space="preserve">    </w:t>
      </w:r>
      <w:r>
        <w:rPr>
          <w:sz w:val="21"/>
        </w:rPr>
        <w:t>元整（小写</w:t>
      </w:r>
      <w:r>
        <w:rPr>
          <w:sz w:val="21"/>
        </w:rPr>
        <w:t xml:space="preserve">¥      </w:t>
      </w:r>
      <w:r>
        <w:rPr>
          <w:sz w:val="21"/>
        </w:rPr>
        <w:t>），其中不含税技术服务费为人民币     元整（小写</w:t>
      </w:r>
      <w:r>
        <w:rPr>
          <w:sz w:val="21"/>
        </w:rPr>
        <w:t xml:space="preserve">¥      </w:t>
      </w:r>
      <w:r>
        <w:rPr>
          <w:sz w:val="21"/>
        </w:rPr>
        <w:t xml:space="preserve">），税率为  </w:t>
      </w:r>
      <w:r>
        <w:rPr>
          <w:sz w:val="21"/>
        </w:rPr>
        <w:t>%</w:t>
      </w:r>
      <w:r>
        <w:rPr>
          <w:sz w:val="21"/>
        </w:rPr>
        <w:t>，税金为人民币     元整（小写</w:t>
      </w:r>
      <w:r>
        <w:rPr>
          <w:sz w:val="21"/>
        </w:rPr>
        <w:t xml:space="preserve">¥      </w:t>
      </w:r>
      <w:r>
        <w:rPr>
          <w:sz w:val="21"/>
        </w:rPr>
        <w:t>）。技术服务费包括乙方的人工成本、技术分析成本、成果出版制作、专家费用、交通、住宿、调研等，以及开展本项目过程中产生的所有费用。</w:t>
      </w:r>
    </w:p>
    <w:p>
      <w:pPr>
        <w:pStyle w:val="null3"/>
        <w:ind w:firstLine="480"/>
        <w:jc w:val="both"/>
      </w:pPr>
      <w:r>
        <w:rPr>
          <w:b/>
          <w:sz w:val="21"/>
        </w:rPr>
        <w:t>第六条</w:t>
      </w:r>
      <w:r>
        <w:rPr>
          <w:b/>
          <w:sz w:val="21"/>
        </w:rPr>
        <w:t>技术服务费支付方式</w:t>
      </w:r>
    </w:p>
    <w:p>
      <w:pPr>
        <w:pStyle w:val="null3"/>
        <w:ind w:firstLine="480"/>
        <w:jc w:val="both"/>
      </w:pPr>
      <w:r>
        <w:rPr>
          <w:sz w:val="21"/>
        </w:rPr>
        <w:t>1.</w:t>
      </w:r>
      <w:r>
        <w:rPr>
          <w:sz w:val="21"/>
        </w:rPr>
        <w:t>乙方完成茂名市</w:t>
      </w:r>
      <w:r>
        <w:rPr>
          <w:sz w:val="21"/>
        </w:rPr>
        <w:t>2024</w:t>
      </w:r>
      <w:r>
        <w:rPr>
          <w:sz w:val="21"/>
        </w:rPr>
        <w:t>年第一季度城市生活垃圾分类评估工作并提交评估报告经甲方确认后，甲方按茂名市财政集中支付方式办理</w:t>
      </w:r>
      <w:r>
        <w:rPr>
          <w:sz w:val="21"/>
        </w:rPr>
        <w:t>30%</w:t>
      </w:r>
      <w:r>
        <w:rPr>
          <w:sz w:val="21"/>
        </w:rPr>
        <w:t>技术服务费即人民币     元整（小写</w:t>
      </w:r>
      <w:r>
        <w:rPr>
          <w:sz w:val="21"/>
        </w:rPr>
        <w:t xml:space="preserve">¥      </w:t>
      </w:r>
      <w:r>
        <w:rPr>
          <w:sz w:val="21"/>
        </w:rPr>
        <w:t>）手续支付给乙方，乙方须开具等额发票提供给甲方办理支付手续。</w:t>
      </w:r>
    </w:p>
    <w:p>
      <w:pPr>
        <w:pStyle w:val="null3"/>
        <w:ind w:firstLine="480"/>
        <w:jc w:val="both"/>
      </w:pPr>
      <w:r>
        <w:rPr>
          <w:sz w:val="21"/>
        </w:rPr>
        <w:t>2.</w:t>
      </w:r>
      <w:r>
        <w:rPr>
          <w:sz w:val="21"/>
        </w:rPr>
        <w:t>乙方完成茂名市</w:t>
      </w:r>
      <w:r>
        <w:rPr>
          <w:sz w:val="21"/>
        </w:rPr>
        <w:t>2024</w:t>
      </w:r>
      <w:r>
        <w:rPr>
          <w:sz w:val="21"/>
        </w:rPr>
        <w:t>年第二季度城市生活垃圾分类评估工作并提交评估报告经甲方确认后，甲方按茂名市财政集中支付方式办理</w:t>
      </w:r>
      <w:r>
        <w:rPr>
          <w:sz w:val="21"/>
        </w:rPr>
        <w:t>20%</w:t>
      </w:r>
      <w:r>
        <w:rPr>
          <w:sz w:val="21"/>
        </w:rPr>
        <w:t>技术服务费即人民币     元整（小写</w:t>
      </w:r>
      <w:r>
        <w:rPr>
          <w:sz w:val="21"/>
        </w:rPr>
        <w:t xml:space="preserve">¥      </w:t>
      </w:r>
      <w:r>
        <w:rPr>
          <w:sz w:val="21"/>
        </w:rPr>
        <w:t>）手续支付给乙方，乙方须开具等额发票提供给甲方办理支付手续。</w:t>
      </w:r>
    </w:p>
    <w:p>
      <w:pPr>
        <w:pStyle w:val="null3"/>
        <w:ind w:firstLine="480"/>
        <w:jc w:val="both"/>
      </w:pPr>
      <w:r>
        <w:rPr>
          <w:sz w:val="21"/>
        </w:rPr>
        <w:t>3.</w:t>
      </w:r>
      <w:r>
        <w:rPr>
          <w:sz w:val="21"/>
        </w:rPr>
        <w:t>乙方完成茂名市</w:t>
      </w:r>
      <w:r>
        <w:rPr>
          <w:sz w:val="21"/>
        </w:rPr>
        <w:t>2025</w:t>
      </w:r>
      <w:r>
        <w:rPr>
          <w:sz w:val="21"/>
        </w:rPr>
        <w:t>年第一季度城市生活垃圾分类评估工作并提交评估报告经甲方确认后，甲方按茂名市财政集中支付方式办理</w:t>
      </w:r>
      <w:r>
        <w:rPr>
          <w:sz w:val="21"/>
        </w:rPr>
        <w:t>25%</w:t>
      </w:r>
      <w:r>
        <w:rPr>
          <w:sz w:val="21"/>
        </w:rPr>
        <w:t>技术服务费即人民币     元整（小写</w:t>
      </w:r>
      <w:r>
        <w:rPr>
          <w:sz w:val="21"/>
        </w:rPr>
        <w:t xml:space="preserve">¥      </w:t>
      </w:r>
      <w:r>
        <w:rPr>
          <w:sz w:val="21"/>
        </w:rPr>
        <w:t>）手续支付给乙方，乙方须开具等额发票提供给甲方办理支付手续。</w:t>
      </w:r>
    </w:p>
    <w:p>
      <w:pPr>
        <w:pStyle w:val="null3"/>
        <w:ind w:firstLine="480"/>
        <w:jc w:val="both"/>
      </w:pPr>
      <w:r>
        <w:rPr>
          <w:sz w:val="21"/>
        </w:rPr>
        <w:t>4.</w:t>
      </w:r>
      <w:r>
        <w:rPr>
          <w:sz w:val="21"/>
        </w:rPr>
        <w:t>乙方完成茂名市</w:t>
      </w:r>
      <w:r>
        <w:rPr>
          <w:sz w:val="21"/>
        </w:rPr>
        <w:t>2025</w:t>
      </w:r>
      <w:r>
        <w:rPr>
          <w:sz w:val="21"/>
        </w:rPr>
        <w:t>年第二季度城市生活垃圾分类评估工作并提交评估报告经甲方确认后，甲方按茂名市财政集中支付方式办理</w:t>
      </w:r>
      <w:r>
        <w:rPr>
          <w:sz w:val="21"/>
        </w:rPr>
        <w:t>15%</w:t>
      </w:r>
      <w:r>
        <w:rPr>
          <w:sz w:val="21"/>
        </w:rPr>
        <w:t>技术服务费即人民币     元整（小写</w:t>
      </w:r>
      <w:r>
        <w:rPr>
          <w:sz w:val="21"/>
        </w:rPr>
        <w:t xml:space="preserve">¥      </w:t>
      </w:r>
      <w:r>
        <w:rPr>
          <w:sz w:val="21"/>
        </w:rPr>
        <w:t>）手续支付给乙方，乙方须开具等额发票提供给甲方办理支付手续。</w:t>
      </w:r>
    </w:p>
    <w:p>
      <w:pPr>
        <w:pStyle w:val="null3"/>
        <w:ind w:firstLine="480"/>
        <w:jc w:val="both"/>
      </w:pPr>
      <w:r>
        <w:rPr>
          <w:sz w:val="21"/>
        </w:rPr>
        <w:t>5.</w:t>
      </w:r>
      <w:r>
        <w:rPr>
          <w:sz w:val="21"/>
        </w:rPr>
        <w:t>乙方完成本项目规定的所有技术服务内容，提交所有技术服务成果，经甲方审核验收合格后，甲方按茂名市财政集中支付方式办理</w:t>
      </w:r>
      <w:r>
        <w:rPr>
          <w:sz w:val="21"/>
        </w:rPr>
        <w:t>10%</w:t>
      </w:r>
      <w:r>
        <w:rPr>
          <w:sz w:val="21"/>
        </w:rPr>
        <w:t>技术服务费即人民币     元整（小写</w:t>
      </w:r>
      <w:r>
        <w:rPr>
          <w:sz w:val="21"/>
        </w:rPr>
        <w:t xml:space="preserve">¥      </w:t>
      </w:r>
      <w:r>
        <w:rPr>
          <w:sz w:val="21"/>
        </w:rPr>
        <w:t>）手续支付给乙方，乙方须开具等额发票提供给甲方办理支付手续。</w:t>
      </w:r>
    </w:p>
    <w:p>
      <w:pPr>
        <w:pStyle w:val="null3"/>
        <w:spacing w:after="120"/>
        <w:ind w:left="195" w:firstLine="200"/>
        <w:jc w:val="both"/>
      </w:pPr>
      <w:r>
        <w:rPr>
          <w:sz w:val="21"/>
        </w:rPr>
        <w:t>注：采购人原则上应当自收到发票后</w:t>
      </w:r>
      <w:r>
        <w:rPr>
          <w:sz w:val="21"/>
        </w:rPr>
        <w:t>10个工作日内将资金支付到合同约定的供应商账户。</w:t>
      </w:r>
    </w:p>
    <w:p>
      <w:pPr>
        <w:pStyle w:val="null3"/>
        <w:ind w:firstLine="480"/>
        <w:jc w:val="both"/>
      </w:pPr>
      <w:r>
        <w:rPr>
          <w:b/>
          <w:sz w:val="21"/>
        </w:rPr>
        <w:t>第七条</w:t>
      </w:r>
      <w:r>
        <w:rPr>
          <w:b/>
          <w:sz w:val="21"/>
        </w:rPr>
        <w:t>甲方义务</w:t>
      </w:r>
    </w:p>
    <w:p>
      <w:pPr>
        <w:pStyle w:val="null3"/>
        <w:ind w:firstLine="480"/>
        <w:jc w:val="both"/>
      </w:pPr>
      <w:r>
        <w:rPr>
          <w:sz w:val="21"/>
        </w:rPr>
        <w:t>XXXXXXX</w:t>
      </w:r>
    </w:p>
    <w:p>
      <w:pPr>
        <w:pStyle w:val="null3"/>
        <w:ind w:firstLine="480"/>
        <w:jc w:val="both"/>
      </w:pPr>
      <w:r>
        <w:rPr>
          <w:b/>
          <w:sz w:val="21"/>
        </w:rPr>
        <w:t>第八条</w:t>
      </w:r>
      <w:r>
        <w:rPr>
          <w:b/>
          <w:sz w:val="21"/>
        </w:rPr>
        <w:t>乙方义务</w:t>
      </w:r>
    </w:p>
    <w:p>
      <w:pPr>
        <w:pStyle w:val="null3"/>
        <w:ind w:firstLine="480"/>
        <w:jc w:val="both"/>
      </w:pPr>
      <w:r>
        <w:rPr>
          <w:sz w:val="21"/>
        </w:rPr>
        <w:t>XXXXXXX</w:t>
      </w:r>
    </w:p>
    <w:p>
      <w:pPr>
        <w:pStyle w:val="null3"/>
        <w:ind w:firstLine="480"/>
        <w:jc w:val="both"/>
      </w:pPr>
      <w:r>
        <w:rPr>
          <w:b/>
          <w:sz w:val="21"/>
        </w:rPr>
        <w:t>第九条</w:t>
      </w:r>
      <w:r>
        <w:rPr>
          <w:b/>
          <w:sz w:val="21"/>
        </w:rPr>
        <w:t>对项目成果所有权、使用权和著作权归属的约定</w:t>
      </w:r>
    </w:p>
    <w:p>
      <w:pPr>
        <w:pStyle w:val="null3"/>
        <w:ind w:firstLine="480"/>
        <w:jc w:val="both"/>
      </w:pPr>
      <w:r>
        <w:rPr>
          <w:sz w:val="21"/>
        </w:rPr>
        <w:t>XXXXXXX</w:t>
      </w:r>
    </w:p>
    <w:p>
      <w:pPr>
        <w:pStyle w:val="null3"/>
        <w:ind w:firstLine="480"/>
        <w:jc w:val="both"/>
      </w:pPr>
      <w:r>
        <w:rPr>
          <w:b/>
          <w:sz w:val="21"/>
        </w:rPr>
        <w:t>第十条</w:t>
      </w:r>
      <w:r>
        <w:rPr>
          <w:b/>
          <w:sz w:val="21"/>
        </w:rPr>
        <w:t>保密</w:t>
      </w:r>
    </w:p>
    <w:p>
      <w:pPr>
        <w:pStyle w:val="null3"/>
        <w:ind w:firstLine="480"/>
        <w:jc w:val="both"/>
      </w:pPr>
      <w:r>
        <w:rPr>
          <w:sz w:val="21"/>
        </w:rPr>
        <w:t>XXXXXXX</w:t>
      </w:r>
    </w:p>
    <w:p>
      <w:pPr>
        <w:pStyle w:val="null3"/>
        <w:ind w:firstLine="480"/>
        <w:jc w:val="both"/>
      </w:pPr>
      <w:r>
        <w:rPr>
          <w:b/>
          <w:sz w:val="21"/>
        </w:rPr>
        <w:t>第十一条</w:t>
      </w:r>
      <w:r>
        <w:rPr>
          <w:b/>
          <w:sz w:val="21"/>
        </w:rPr>
        <w:t>项目验收</w:t>
      </w:r>
    </w:p>
    <w:p>
      <w:pPr>
        <w:pStyle w:val="null3"/>
        <w:ind w:firstLine="480"/>
        <w:jc w:val="both"/>
      </w:pPr>
      <w:r>
        <w:rPr>
          <w:sz w:val="21"/>
        </w:rPr>
        <w:t>XXXXXXX</w:t>
      </w:r>
    </w:p>
    <w:p>
      <w:pPr>
        <w:pStyle w:val="null3"/>
        <w:ind w:firstLine="480"/>
        <w:jc w:val="both"/>
      </w:pPr>
      <w:r>
        <w:rPr>
          <w:b/>
          <w:sz w:val="21"/>
        </w:rPr>
        <w:t>第十二条违约责任</w:t>
      </w:r>
    </w:p>
    <w:p>
      <w:pPr>
        <w:pStyle w:val="null3"/>
        <w:ind w:firstLine="480"/>
        <w:jc w:val="both"/>
      </w:pPr>
      <w:r>
        <w:rPr>
          <w:sz w:val="21"/>
        </w:rPr>
        <w:t>1.</w:t>
      </w:r>
      <w:r>
        <w:rPr>
          <w:sz w:val="21"/>
        </w:rPr>
        <w:t>本合同履行期间，因甲方原因造成委托终止或解除，甲方应根据乙方已完成的实际工作量支付费用；同时，乙方应将已完成的阶段性成果移交给甲方。</w:t>
      </w:r>
    </w:p>
    <w:p>
      <w:pPr>
        <w:pStyle w:val="null3"/>
        <w:ind w:firstLine="480"/>
        <w:jc w:val="both"/>
      </w:pPr>
      <w:r>
        <w:rPr>
          <w:sz w:val="21"/>
        </w:rPr>
        <w:t>2.</w:t>
      </w:r>
      <w:r>
        <w:rPr>
          <w:sz w:val="21"/>
        </w:rPr>
        <w:t>甲方如要求乙方比合同约定时间提前交付成果时，须与乙方进行协商。</w:t>
      </w:r>
    </w:p>
    <w:p>
      <w:pPr>
        <w:pStyle w:val="null3"/>
        <w:ind w:firstLine="480"/>
        <w:jc w:val="both"/>
      </w:pPr>
      <w:r>
        <w:rPr>
          <w:sz w:val="21"/>
        </w:rPr>
        <w:t>3.</w:t>
      </w:r>
      <w:r>
        <w:rPr>
          <w:sz w:val="21"/>
        </w:rPr>
        <w:t>乙方未经得甲方同意，逾期提交本项目所要求成果的，甲方可以要求乙方按每逾期</w:t>
      </w:r>
      <w:r>
        <w:rPr>
          <w:sz w:val="21"/>
        </w:rPr>
        <w:t>1</w:t>
      </w:r>
      <w:r>
        <w:rPr>
          <w:sz w:val="21"/>
        </w:rPr>
        <w:t>日支付服务费总额万分之五的违约金。</w:t>
      </w:r>
    </w:p>
    <w:p>
      <w:pPr>
        <w:pStyle w:val="null3"/>
        <w:ind w:firstLine="480"/>
        <w:jc w:val="both"/>
      </w:pPr>
      <w:r>
        <w:rPr>
          <w:sz w:val="21"/>
        </w:rPr>
        <w:t>4.</w:t>
      </w:r>
      <w:r>
        <w:rPr>
          <w:sz w:val="21"/>
        </w:rPr>
        <w:t>乙方对成果出现的遗漏或错误负责补充或修改。</w:t>
      </w:r>
    </w:p>
    <w:p>
      <w:pPr>
        <w:pStyle w:val="null3"/>
        <w:ind w:firstLine="480"/>
        <w:jc w:val="both"/>
      </w:pPr>
      <w:r>
        <w:rPr>
          <w:sz w:val="21"/>
        </w:rPr>
        <w:t>5.</w:t>
      </w:r>
      <w:r>
        <w:rPr>
          <w:sz w:val="21"/>
        </w:rPr>
        <w:t>本合同履行期间，因乙方原因造成合同终止或解除，乙方应全额返还甲方已支付的全部费用，同时应将已完成的阶段成果移交给甲方。</w:t>
      </w:r>
    </w:p>
    <w:p>
      <w:pPr>
        <w:pStyle w:val="null3"/>
        <w:ind w:firstLine="480"/>
        <w:jc w:val="both"/>
      </w:pPr>
      <w:r>
        <w:rPr>
          <w:sz w:val="21"/>
        </w:rPr>
        <w:t>6.</w:t>
      </w:r>
      <w:r>
        <w:rPr>
          <w:sz w:val="21"/>
        </w:rPr>
        <w:t>乙方提供的服务及成果不符合本合同规定的，甲方有权拒收，乙方应按合同约定重新提供相应服务及成果。若乙方无法按照合同规定提供服务及成果的，乙方须向甲方支付服务费总额</w:t>
      </w:r>
      <w:r>
        <w:rPr>
          <w:sz w:val="21"/>
        </w:rPr>
        <w:t>5%</w:t>
      </w:r>
      <w:r>
        <w:rPr>
          <w:sz w:val="21"/>
        </w:rPr>
        <w:t>的违约金，且甲方有权终止合同，由此造成的甲方经济损失由乙方承担。</w:t>
      </w:r>
    </w:p>
    <w:p>
      <w:pPr>
        <w:pStyle w:val="null3"/>
        <w:ind w:firstLine="480"/>
        <w:jc w:val="both"/>
      </w:pPr>
      <w:r>
        <w:rPr>
          <w:sz w:val="21"/>
        </w:rPr>
        <w:t>7.</w:t>
      </w:r>
      <w:r>
        <w:rPr>
          <w:sz w:val="21"/>
        </w:rPr>
        <w:t>其它违约责任按《中华人民共和国民法典</w:t>
      </w:r>
      <w:r>
        <w:rPr>
          <w:sz w:val="21"/>
        </w:rPr>
        <w:t>(</w:t>
      </w:r>
      <w:r>
        <w:rPr>
          <w:sz w:val="21"/>
        </w:rPr>
        <w:t>合同编</w:t>
      </w:r>
      <w:r>
        <w:rPr>
          <w:sz w:val="21"/>
        </w:rPr>
        <w:t>)</w:t>
      </w:r>
      <w:r>
        <w:rPr>
          <w:sz w:val="21"/>
        </w:rPr>
        <w:t>》处理。</w:t>
      </w:r>
    </w:p>
    <w:p>
      <w:pPr>
        <w:pStyle w:val="null3"/>
        <w:ind w:firstLine="480"/>
        <w:jc w:val="both"/>
      </w:pPr>
      <w:r>
        <w:rPr>
          <w:b/>
          <w:sz w:val="21"/>
        </w:rPr>
        <w:t>第十三条</w:t>
      </w:r>
      <w:r>
        <w:rPr>
          <w:b/>
          <w:sz w:val="21"/>
        </w:rPr>
        <w:t>解除合同情形</w:t>
      </w:r>
    </w:p>
    <w:p>
      <w:pPr>
        <w:pStyle w:val="null3"/>
        <w:ind w:firstLine="480"/>
        <w:jc w:val="both"/>
      </w:pPr>
      <w:r>
        <w:rPr>
          <w:sz w:val="21"/>
        </w:rPr>
        <w:t>双方确定，出现下列情形，致使本合同的履行成为不必要或不可能的，可以解除本合同：</w:t>
      </w:r>
    </w:p>
    <w:p>
      <w:pPr>
        <w:pStyle w:val="null3"/>
        <w:ind w:firstLine="480"/>
        <w:jc w:val="both"/>
      </w:pPr>
      <w:r>
        <w:rPr>
          <w:sz w:val="21"/>
        </w:rPr>
        <w:t>1.</w:t>
      </w:r>
      <w:r>
        <w:rPr>
          <w:sz w:val="21"/>
        </w:rPr>
        <w:t>发生不可抗力或政策因素；</w:t>
      </w:r>
    </w:p>
    <w:p>
      <w:pPr>
        <w:pStyle w:val="null3"/>
        <w:ind w:firstLine="480"/>
        <w:jc w:val="both"/>
      </w:pPr>
      <w:r>
        <w:rPr>
          <w:sz w:val="21"/>
        </w:rPr>
        <w:t>2.</w:t>
      </w:r>
      <w:r>
        <w:rPr>
          <w:sz w:val="21"/>
        </w:rPr>
        <w:t>其他双方协商一致认为应终止合同的情形。</w:t>
      </w:r>
    </w:p>
    <w:p>
      <w:pPr>
        <w:pStyle w:val="null3"/>
        <w:ind w:firstLine="480"/>
        <w:jc w:val="both"/>
      </w:pPr>
      <w:r>
        <w:rPr>
          <w:b/>
          <w:sz w:val="21"/>
        </w:rPr>
        <w:t>第十四条</w:t>
      </w:r>
      <w:r>
        <w:rPr>
          <w:b/>
          <w:sz w:val="21"/>
        </w:rPr>
        <w:t>争议及解决方式</w:t>
      </w:r>
    </w:p>
    <w:p>
      <w:pPr>
        <w:pStyle w:val="null3"/>
        <w:ind w:firstLine="480"/>
        <w:jc w:val="both"/>
      </w:pPr>
      <w:r>
        <w:rPr>
          <w:sz w:val="21"/>
        </w:rPr>
        <w:t>双方因履行本合同而发生的争议，应协商、调解解决。协商、调解不成的，依法向甲方所在地人民法院起诉。违约方须承担由此产生的诉讼费、保全费、律师费、差旅费等全部费用及给守约方所造成的全部损失。</w:t>
      </w:r>
    </w:p>
    <w:p>
      <w:pPr>
        <w:pStyle w:val="null3"/>
        <w:ind w:firstLine="480"/>
        <w:jc w:val="both"/>
      </w:pPr>
      <w:r>
        <w:rPr>
          <w:b/>
          <w:sz w:val="21"/>
        </w:rPr>
        <w:t>第十五条</w:t>
      </w:r>
      <w:r>
        <w:rPr>
          <w:b/>
          <w:sz w:val="21"/>
        </w:rPr>
        <w:t>不可抗力</w:t>
      </w:r>
    </w:p>
    <w:p>
      <w:pPr>
        <w:pStyle w:val="null3"/>
        <w:ind w:firstLine="48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1"/>
        </w:rPr>
        <w:t>第十六条</w:t>
      </w:r>
      <w:r>
        <w:rPr>
          <w:b/>
          <w:sz w:val="21"/>
        </w:rPr>
        <w:t>联系方式</w:t>
      </w:r>
    </w:p>
    <w:p>
      <w:pPr>
        <w:pStyle w:val="null3"/>
        <w:ind w:firstLine="480"/>
        <w:jc w:val="both"/>
      </w:pPr>
      <w:r>
        <w:rPr>
          <w:sz w:val="21"/>
        </w:rPr>
        <w:t>双方确定，在本合同有效期内，项目联系人承担以下责任：负责双方联系工作、负责双方协调工作、甲乙双方对本项目各自工作人员具有调配能力。一方变更本合同联系人的，应当及时以书面形式通知另一方。未及时通知并影响本合同履行或造成损失的，应承担相应的责任。</w:t>
      </w:r>
    </w:p>
    <w:p>
      <w:pPr>
        <w:pStyle w:val="null3"/>
        <w:ind w:firstLine="480"/>
        <w:jc w:val="both"/>
      </w:pPr>
      <w:r>
        <w:rPr>
          <w:sz w:val="21"/>
        </w:rPr>
        <w:t>双方确认本合同地址为约定送达地址，本合同地址如有变更，应当书面通知对方，否则仍视本合同地址为有效地址。</w:t>
      </w:r>
    </w:p>
    <w:p>
      <w:pPr>
        <w:pStyle w:val="null3"/>
        <w:ind w:firstLine="480"/>
        <w:jc w:val="both"/>
      </w:pPr>
      <w:r>
        <w:rPr>
          <w:sz w:val="21"/>
        </w:rPr>
        <w:t>本合同双方确认其有效的送达地址为：</w:t>
      </w:r>
    </w:p>
    <w:p>
      <w:pPr>
        <w:pStyle w:val="null3"/>
        <w:ind w:firstLine="480"/>
        <w:jc w:val="both"/>
      </w:pPr>
      <w:r>
        <w:rPr>
          <w:sz w:val="21"/>
        </w:rPr>
        <w:t>甲</w:t>
      </w:r>
      <w:r>
        <w:rPr>
          <w:sz w:val="21"/>
        </w:rPr>
        <w:t xml:space="preserve">   </w:t>
      </w:r>
      <w:r>
        <w:rPr>
          <w:sz w:val="21"/>
        </w:rPr>
        <w:t>方：</w:t>
      </w:r>
      <w:r>
        <w:rPr>
          <w:sz w:val="21"/>
        </w:rPr>
        <w:t xml:space="preserve">            </w:t>
      </w:r>
    </w:p>
    <w:p>
      <w:pPr>
        <w:pStyle w:val="null3"/>
        <w:ind w:firstLine="480"/>
        <w:jc w:val="both"/>
      </w:pPr>
      <w:r>
        <w:rPr>
          <w:sz w:val="21"/>
        </w:rPr>
        <w:t>通讯地址：</w:t>
      </w:r>
      <w:r>
        <w:rPr>
          <w:sz w:val="21"/>
        </w:rPr>
        <w:t xml:space="preserve">            </w:t>
      </w:r>
    </w:p>
    <w:p>
      <w:pPr>
        <w:pStyle w:val="null3"/>
        <w:ind w:firstLine="480"/>
        <w:jc w:val="both"/>
      </w:pPr>
      <w:r>
        <w:rPr>
          <w:sz w:val="21"/>
        </w:rPr>
        <w:t>邮政编码：</w:t>
      </w:r>
      <w:r>
        <w:rPr>
          <w:sz w:val="21"/>
        </w:rPr>
        <w:t xml:space="preserve">            </w:t>
      </w:r>
    </w:p>
    <w:p>
      <w:pPr>
        <w:pStyle w:val="null3"/>
        <w:ind w:firstLine="480"/>
        <w:jc w:val="both"/>
      </w:pPr>
      <w:r>
        <w:rPr>
          <w:sz w:val="21"/>
        </w:rPr>
        <w:t>联</w:t>
      </w:r>
      <w:r>
        <w:rPr>
          <w:sz w:val="21"/>
        </w:rPr>
        <w:t>系</w:t>
      </w:r>
      <w:r>
        <w:rPr>
          <w:sz w:val="21"/>
        </w:rPr>
        <w:t>人：</w:t>
      </w:r>
      <w:r>
        <w:rPr>
          <w:sz w:val="21"/>
        </w:rPr>
        <w:t xml:space="preserve">            </w:t>
      </w:r>
    </w:p>
    <w:p>
      <w:pPr>
        <w:pStyle w:val="null3"/>
        <w:ind w:firstLine="480"/>
        <w:jc w:val="both"/>
      </w:pPr>
      <w:r>
        <w:rPr>
          <w:sz w:val="21"/>
        </w:rPr>
        <w:t>固定电话：</w:t>
      </w:r>
      <w:r>
        <w:rPr>
          <w:sz w:val="21"/>
        </w:rPr>
        <w:t xml:space="preserve">            </w:t>
      </w:r>
    </w:p>
    <w:p>
      <w:pPr>
        <w:pStyle w:val="null3"/>
        <w:ind w:firstLine="480"/>
        <w:jc w:val="both"/>
      </w:pPr>
      <w:r>
        <w:rPr>
          <w:sz w:val="21"/>
        </w:rPr>
        <w:t>手机号码：</w:t>
      </w:r>
      <w:r>
        <w:rPr>
          <w:sz w:val="21"/>
        </w:rPr>
        <w:t xml:space="preserve">            </w:t>
      </w:r>
    </w:p>
    <w:p>
      <w:pPr>
        <w:pStyle w:val="null3"/>
        <w:ind w:firstLine="480"/>
        <w:jc w:val="both"/>
      </w:pPr>
      <w:r>
        <w:rPr>
          <w:sz w:val="21"/>
        </w:rPr>
        <w:t>电子邮箱：</w:t>
      </w:r>
      <w:r>
        <w:rPr>
          <w:sz w:val="21"/>
        </w:rPr>
        <w:t xml:space="preserve">            </w:t>
      </w:r>
    </w:p>
    <w:p>
      <w:pPr>
        <w:pStyle w:val="null3"/>
        <w:ind w:firstLine="480"/>
        <w:jc w:val="both"/>
      </w:pPr>
      <w:r>
        <w:rPr>
          <w:sz w:val="21"/>
        </w:rPr>
        <w:t>乙</w:t>
      </w:r>
      <w:r>
        <w:rPr>
          <w:sz w:val="21"/>
        </w:rPr>
        <w:t xml:space="preserve">   </w:t>
      </w:r>
      <w:r>
        <w:rPr>
          <w:sz w:val="21"/>
        </w:rPr>
        <w:t>方：</w:t>
      </w:r>
      <w:r>
        <w:rPr>
          <w:sz w:val="21"/>
        </w:rPr>
        <w:t xml:space="preserve">            </w:t>
      </w:r>
    </w:p>
    <w:p>
      <w:pPr>
        <w:pStyle w:val="null3"/>
        <w:ind w:firstLine="480"/>
        <w:jc w:val="both"/>
      </w:pPr>
      <w:r>
        <w:rPr>
          <w:sz w:val="21"/>
        </w:rPr>
        <w:t>通讯地址：</w:t>
      </w:r>
      <w:r>
        <w:rPr>
          <w:sz w:val="21"/>
        </w:rPr>
        <w:t xml:space="preserve">            </w:t>
      </w:r>
    </w:p>
    <w:p>
      <w:pPr>
        <w:pStyle w:val="null3"/>
        <w:ind w:firstLine="480"/>
        <w:jc w:val="both"/>
      </w:pPr>
      <w:r>
        <w:rPr>
          <w:sz w:val="21"/>
        </w:rPr>
        <w:t>邮政编码：</w:t>
      </w:r>
      <w:r>
        <w:rPr>
          <w:sz w:val="21"/>
        </w:rPr>
        <w:t xml:space="preserve">            </w:t>
      </w:r>
    </w:p>
    <w:p>
      <w:pPr>
        <w:pStyle w:val="null3"/>
        <w:ind w:firstLine="480"/>
        <w:jc w:val="both"/>
      </w:pPr>
      <w:r>
        <w:rPr>
          <w:sz w:val="21"/>
        </w:rPr>
        <w:t>联</w:t>
      </w:r>
      <w:r>
        <w:rPr>
          <w:sz w:val="21"/>
        </w:rPr>
        <w:t>系</w:t>
      </w:r>
      <w:r>
        <w:rPr>
          <w:sz w:val="21"/>
        </w:rPr>
        <w:t>人：</w:t>
      </w:r>
      <w:r>
        <w:rPr>
          <w:sz w:val="21"/>
        </w:rPr>
        <w:t xml:space="preserve">            </w:t>
      </w:r>
    </w:p>
    <w:p>
      <w:pPr>
        <w:pStyle w:val="null3"/>
        <w:ind w:firstLine="480"/>
        <w:jc w:val="both"/>
      </w:pPr>
      <w:r>
        <w:rPr>
          <w:sz w:val="21"/>
        </w:rPr>
        <w:t>固定电话：</w:t>
      </w:r>
      <w:r>
        <w:rPr>
          <w:sz w:val="21"/>
        </w:rPr>
        <w:t xml:space="preserve">            </w:t>
      </w:r>
    </w:p>
    <w:p>
      <w:pPr>
        <w:pStyle w:val="null3"/>
        <w:ind w:firstLine="480"/>
        <w:jc w:val="both"/>
      </w:pPr>
      <w:r>
        <w:rPr>
          <w:sz w:val="21"/>
        </w:rPr>
        <w:t>手机号码：</w:t>
      </w:r>
      <w:r>
        <w:rPr>
          <w:sz w:val="21"/>
        </w:rPr>
        <w:t xml:space="preserve">            </w:t>
      </w:r>
    </w:p>
    <w:p>
      <w:pPr>
        <w:pStyle w:val="null3"/>
        <w:ind w:firstLine="480"/>
        <w:jc w:val="both"/>
      </w:pPr>
      <w:r>
        <w:rPr>
          <w:sz w:val="21"/>
        </w:rPr>
        <w:t>电子邮箱：</w:t>
      </w:r>
      <w:r>
        <w:rPr>
          <w:sz w:val="21"/>
        </w:rPr>
        <w:t xml:space="preserve">            </w:t>
      </w:r>
    </w:p>
    <w:p>
      <w:pPr>
        <w:pStyle w:val="null3"/>
        <w:ind w:firstLine="480"/>
        <w:jc w:val="both"/>
      </w:pPr>
      <w:r>
        <w:rPr>
          <w:b/>
          <w:sz w:val="21"/>
        </w:rPr>
        <w:t>第十七条</w:t>
      </w:r>
      <w:r>
        <w:rPr>
          <w:b/>
          <w:sz w:val="21"/>
        </w:rPr>
        <w:t>其他情形</w:t>
      </w:r>
    </w:p>
    <w:p>
      <w:pPr>
        <w:pStyle w:val="null3"/>
        <w:ind w:firstLine="480"/>
        <w:jc w:val="both"/>
      </w:pPr>
      <w:r>
        <w:rPr>
          <w:sz w:val="21"/>
        </w:rPr>
        <w:t>1.</w:t>
      </w:r>
      <w:r>
        <w:rPr>
          <w:sz w:val="21"/>
        </w:rPr>
        <w:t>本合同所有附件、招标文件、投标文件、中标通知书均为合同的有效组成部分，与本合同具有同等法律效力。</w:t>
      </w:r>
    </w:p>
    <w:p>
      <w:pPr>
        <w:pStyle w:val="null3"/>
        <w:ind w:firstLine="480"/>
        <w:jc w:val="both"/>
      </w:pPr>
      <w:r>
        <w:rPr>
          <w:sz w:val="21"/>
        </w:rPr>
        <w:t>2.</w:t>
      </w:r>
      <w:r>
        <w:rPr>
          <w:sz w:val="21"/>
        </w:rPr>
        <w:t>在执行本合同的过程中，双方不得随意变更和解除合同，如有未尽事宜，由双方协商做出书面补充协议，补充协议经双方签字盖章</w:t>
      </w:r>
      <w:r>
        <w:rPr>
          <w:sz w:val="21"/>
        </w:rPr>
        <w:t>之日起</w:t>
      </w:r>
      <w:r>
        <w:rPr>
          <w:sz w:val="21"/>
        </w:rPr>
        <w:t>生效。</w:t>
      </w:r>
    </w:p>
    <w:p>
      <w:pPr>
        <w:pStyle w:val="null3"/>
        <w:ind w:firstLine="480"/>
        <w:jc w:val="both"/>
      </w:pPr>
      <w:r>
        <w:rPr>
          <w:sz w:val="21"/>
        </w:rPr>
        <w:t>3.</w:t>
      </w:r>
      <w:r>
        <w:rPr>
          <w:sz w:val="21"/>
        </w:rPr>
        <w:t>在执行本合同的过程中，所有经双方签署确认的文件（包括会议纪要、补充协议、往来信函）即成为本合同的有效组成部分，与本合同具有同等的法律效力。</w:t>
      </w:r>
    </w:p>
    <w:p>
      <w:pPr>
        <w:pStyle w:val="null3"/>
        <w:ind w:firstLine="480"/>
        <w:jc w:val="both"/>
      </w:pPr>
      <w:r>
        <w:rPr>
          <w:sz w:val="21"/>
        </w:rPr>
        <w:t>4.</w:t>
      </w:r>
      <w:r>
        <w:rPr>
          <w:sz w:val="21"/>
        </w:rPr>
        <w:t>除甲方事先书面同意外，乙方不得部分或全部转让其应履行的合同项下的义务。</w:t>
      </w:r>
    </w:p>
    <w:p>
      <w:pPr>
        <w:pStyle w:val="null3"/>
        <w:ind w:firstLine="480"/>
        <w:jc w:val="both"/>
      </w:pPr>
      <w:r>
        <w:rPr>
          <w:b/>
          <w:sz w:val="21"/>
        </w:rPr>
        <w:t>第十八条</w:t>
      </w:r>
      <w:r>
        <w:rPr>
          <w:b/>
          <w:sz w:val="21"/>
        </w:rPr>
        <w:t>合同生效</w:t>
      </w:r>
    </w:p>
    <w:p>
      <w:pPr>
        <w:pStyle w:val="null3"/>
        <w:ind w:firstLine="480"/>
        <w:jc w:val="both"/>
      </w:pPr>
      <w:r>
        <w:rPr>
          <w:sz w:val="21"/>
        </w:rPr>
        <w:t>本合同一式</w:t>
      </w:r>
      <w:r>
        <w:rPr>
          <w:sz w:val="21"/>
        </w:rPr>
        <w:t xml:space="preserve"> </w:t>
      </w:r>
      <w:r>
        <w:rPr>
          <w:sz w:val="21"/>
        </w:rPr>
        <w:t>份，甲方、乙方各执</w:t>
      </w:r>
      <w:r>
        <w:rPr>
          <w:sz w:val="21"/>
        </w:rPr>
        <w:t xml:space="preserve"> </w:t>
      </w:r>
      <w:r>
        <w:rPr>
          <w:sz w:val="21"/>
        </w:rPr>
        <w:t>份，具有同等法律效力。本合同在甲乙双方法人代表或其授权代表签字盖章</w:t>
      </w:r>
      <w:r>
        <w:rPr>
          <w:sz w:val="21"/>
        </w:rPr>
        <w:t>之日起</w:t>
      </w:r>
      <w:r>
        <w:rPr>
          <w:sz w:val="21"/>
        </w:rPr>
        <w:t>生效。</w:t>
      </w:r>
    </w:p>
    <w:p>
      <w:pPr>
        <w:pStyle w:val="null3"/>
        <w:ind w:firstLine="480"/>
        <w:jc w:val="both"/>
      </w:pPr>
      <w:r>
        <w:rPr>
          <w:sz w:val="21"/>
        </w:rPr>
        <w:t xml:space="preserve"> </w:t>
      </w:r>
    </w:p>
    <w:p>
      <w:pPr>
        <w:pStyle w:val="null3"/>
        <w:ind w:firstLine="480"/>
        <w:jc w:val="both"/>
      </w:pPr>
      <w:r>
        <w:rPr>
          <w:sz w:val="21"/>
        </w:rPr>
        <w:t>甲方（盖章）：</w:t>
      </w:r>
      <w:r>
        <w:rPr>
          <w:sz w:val="21"/>
        </w:rPr>
        <w:t xml:space="preserve">            </w:t>
      </w:r>
      <w:r>
        <w:rPr>
          <w:sz w:val="21"/>
        </w:rPr>
        <w:t xml:space="preserve">          </w:t>
      </w:r>
      <w:r>
        <w:rPr>
          <w:sz w:val="21"/>
        </w:rPr>
        <w:t xml:space="preserve"> </w:t>
      </w:r>
      <w:r>
        <w:rPr>
          <w:sz w:val="21"/>
        </w:rPr>
        <w:t>乙方（盖章）：</w:t>
      </w:r>
    </w:p>
    <w:p>
      <w:pPr>
        <w:pStyle w:val="null3"/>
        <w:ind w:firstLine="480"/>
        <w:jc w:val="both"/>
      </w:pPr>
    </w:p>
    <w:p>
      <w:pPr>
        <w:pStyle w:val="null3"/>
        <w:ind w:firstLine="480"/>
        <w:jc w:val="both"/>
      </w:pPr>
      <w:r>
        <w:rPr>
          <w:sz w:val="21"/>
        </w:rPr>
        <w:t>法定代表人</w:t>
      </w:r>
      <w:r>
        <w:rPr>
          <w:sz w:val="21"/>
        </w:rPr>
        <w:t xml:space="preserve">               </w:t>
      </w:r>
      <w:r>
        <w:rPr>
          <w:sz w:val="21"/>
        </w:rPr>
        <w:t xml:space="preserve">         </w:t>
      </w:r>
      <w:r>
        <w:rPr>
          <w:sz w:val="21"/>
        </w:rPr>
        <w:t xml:space="preserve">  </w:t>
      </w:r>
      <w:r>
        <w:rPr>
          <w:sz w:val="21"/>
        </w:rPr>
        <w:t>法定代表人</w:t>
      </w:r>
    </w:p>
    <w:p>
      <w:pPr>
        <w:pStyle w:val="null3"/>
        <w:ind w:firstLine="480"/>
        <w:jc w:val="both"/>
      </w:pPr>
      <w:r>
        <w:rPr>
          <w:sz w:val="21"/>
        </w:rPr>
        <w:t>（或委托代理人）：</w:t>
      </w:r>
      <w:r>
        <w:rPr>
          <w:sz w:val="21"/>
        </w:rPr>
        <w:t xml:space="preserve">        </w:t>
      </w:r>
      <w:r>
        <w:rPr>
          <w:sz w:val="21"/>
        </w:rPr>
        <w:t xml:space="preserve">         </w:t>
      </w:r>
      <w:r>
        <w:rPr>
          <w:sz w:val="21"/>
        </w:rPr>
        <w:t xml:space="preserve"> </w:t>
      </w:r>
      <w:r>
        <w:rPr>
          <w:sz w:val="21"/>
        </w:rPr>
        <w:t>（或委托代理人）：</w:t>
      </w:r>
    </w:p>
    <w:p>
      <w:pPr>
        <w:pStyle w:val="null3"/>
        <w:ind w:firstLine="480"/>
        <w:jc w:val="both"/>
      </w:pPr>
    </w:p>
    <w:p>
      <w:pPr>
        <w:pStyle w:val="null3"/>
        <w:ind w:firstLine="480"/>
        <w:jc w:val="both"/>
      </w:pPr>
      <w:r>
        <w:rPr>
          <w:sz w:val="21"/>
        </w:rPr>
        <w:t>经办人：</w:t>
      </w:r>
      <w:r>
        <w:rPr>
          <w:sz w:val="21"/>
        </w:rPr>
        <w:t xml:space="preserve">                </w:t>
      </w:r>
      <w:r>
        <w:rPr>
          <w:sz w:val="21"/>
        </w:rPr>
        <w:t xml:space="preserve">          </w:t>
      </w:r>
      <w:r>
        <w:rPr>
          <w:sz w:val="21"/>
        </w:rPr>
        <w:t xml:space="preserve">   </w:t>
      </w:r>
      <w:r>
        <w:rPr>
          <w:sz w:val="21"/>
        </w:rPr>
        <w:t>经办人：</w:t>
      </w:r>
    </w:p>
    <w:p>
      <w:pPr>
        <w:pStyle w:val="null3"/>
        <w:ind w:firstLine="480"/>
        <w:jc w:val="both"/>
      </w:pPr>
    </w:p>
    <w:p>
      <w:pPr>
        <w:pStyle w:val="null3"/>
        <w:ind w:firstLine="4410"/>
        <w:jc w:val="both"/>
      </w:pPr>
      <w:r>
        <w:rPr>
          <w:sz w:val="21"/>
        </w:rPr>
        <w:t>单位名称：</w:t>
      </w:r>
      <w:r>
        <w:rPr>
          <w:sz w:val="21"/>
        </w:rPr>
        <w:t xml:space="preserve">                   </w:t>
      </w:r>
    </w:p>
    <w:p>
      <w:pPr>
        <w:pStyle w:val="null3"/>
        <w:ind w:firstLine="4410"/>
        <w:jc w:val="both"/>
      </w:pPr>
      <w:r>
        <w:rPr>
          <w:sz w:val="21"/>
        </w:rPr>
        <w:t>开户银行：</w:t>
      </w:r>
      <w:r>
        <w:rPr>
          <w:sz w:val="21"/>
        </w:rPr>
        <w:t xml:space="preserve">                   </w:t>
      </w:r>
    </w:p>
    <w:p>
      <w:pPr>
        <w:pStyle w:val="null3"/>
        <w:ind w:firstLine="4410"/>
        <w:jc w:val="both"/>
      </w:pPr>
      <w:r>
        <w:rPr>
          <w:sz w:val="21"/>
        </w:rPr>
        <w:t>银行账号：</w:t>
      </w:r>
      <w:r>
        <w:rPr>
          <w:sz w:val="21"/>
        </w:rPr>
        <w:t xml:space="preserve">                   </w:t>
      </w:r>
    </w:p>
    <w:p>
      <w:pPr>
        <w:pStyle w:val="null3"/>
        <w:ind w:firstLine="4410"/>
        <w:jc w:val="both"/>
      </w:pPr>
      <w:r>
        <w:rPr>
          <w:sz w:val="21"/>
        </w:rPr>
        <w:t>银行行号：</w:t>
      </w:r>
      <w:r>
        <w:rPr>
          <w:sz w:val="21"/>
        </w:rPr>
        <w:t xml:space="preserve">                   </w:t>
      </w:r>
    </w:p>
    <w:p>
      <w:pPr>
        <w:pStyle w:val="null3"/>
        <w:ind w:firstLine="480"/>
        <w:jc w:val="both"/>
      </w:pPr>
    </w:p>
    <w:p>
      <w:pPr>
        <w:pStyle w:val="null3"/>
        <w:ind w:firstLine="480"/>
        <w:jc w:val="both"/>
      </w:pPr>
    </w:p>
    <w:p>
      <w:pPr>
        <w:pStyle w:val="null3"/>
        <w:ind w:firstLine="480"/>
        <w:jc w:val="both"/>
      </w:pPr>
    </w:p>
    <w:p>
      <w:pPr>
        <w:pStyle w:val="null3"/>
        <w:ind w:firstLine="480"/>
        <w:jc w:val="both"/>
      </w:pPr>
      <w:r>
        <w:rPr>
          <w:sz w:val="21"/>
        </w:rPr>
        <w:t>签订地点：茂名市</w:t>
      </w:r>
      <w:r>
        <w:rPr>
          <w:sz w:val="21"/>
        </w:rPr>
        <w:t>茂南区</w:t>
      </w:r>
      <w:r>
        <w:rPr>
          <w:sz w:val="21"/>
        </w:rPr>
        <w:t xml:space="preserve">      </w:t>
      </w:r>
      <w:r>
        <w:rPr>
          <w:sz w:val="21"/>
        </w:rPr>
        <w:t xml:space="preserve">           </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p>
    <w:p>
      <w:pPr>
        <w:pStyle w:val="null3"/>
        <w:ind w:firstLine="480"/>
      </w:pPr>
    </w:p>
    <w:p>
      <w:pPr>
        <w:pStyle w:val="null3"/>
      </w:pPr>
      <w:r>
        <w:rPr/>
        <w:t xml:space="preserve"> </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440901-2024-00723</w:t>
      </w:r>
    </w:p>
    <w:p>
      <w:pPr>
        <w:pStyle w:val="null3"/>
        <w:ind w:firstLine="480"/>
        <w:jc w:val="center"/>
        <w:outlineLvl w:val="3"/>
      </w:pPr>
      <w:r>
        <w:rPr>
          <w:b/>
          <w:sz w:val="24"/>
        </w:rPr>
        <w:t>采购项目编号：</w:t>
      </w:r>
      <w:r>
        <w:rPr>
          <w:b/>
          <w:sz w:val="24"/>
        </w:rPr>
        <w:t>GDDHZB20240007</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广东达禾工程管理有限公司</w:t>
      </w:r>
    </w:p>
    <w:p>
      <w:pPr>
        <w:pStyle w:val="null3"/>
        <w:ind w:firstLine="480"/>
      </w:pPr>
      <w:r>
        <w:rPr/>
        <w:t>你方组织的</w:t>
      </w:r>
      <w:r>
        <w:rPr>
          <w:u w:val="single"/>
        </w:rPr>
        <w:t>“</w:t>
      </w:r>
      <w:r>
        <w:rPr>
          <w:u w:val="single"/>
        </w:rPr>
        <w:t>茂名市城市生活垃圾分类全过程咨询技术服务项目</w:t>
      </w:r>
      <w:r>
        <w:rPr>
          <w:u w:val="single"/>
        </w:rPr>
        <w:t>”</w:t>
      </w:r>
      <w:r>
        <w:rPr/>
        <w:t>项目的竞争性磋商[采购项目编号为：</w:t>
      </w:r>
      <w:r>
        <w:rPr>
          <w:u w:val="single"/>
        </w:rPr>
        <w:t>GDDHZB20240007</w:t>
      </w:r>
      <w:r>
        <w:rPr/>
        <w:t>]，我方愿参与响应。</w:t>
      </w:r>
    </w:p>
    <w:p>
      <w:pPr>
        <w:pStyle w:val="null3"/>
        <w:ind w:firstLine="480"/>
      </w:pPr>
      <w:r>
        <w:rPr/>
        <w:t>我方确认收到贵方提供的</w:t>
      </w:r>
      <w:r>
        <w:rPr>
          <w:u w:val="single"/>
        </w:rPr>
        <w:t>“</w:t>
      </w:r>
      <w:r>
        <w:rPr>
          <w:u w:val="single"/>
        </w:rPr>
        <w:t>茂名市城市生活垃圾分类全过程咨询技术服务项目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广东达禾工程管理有限公司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茂名市城市生活垃圾分类全过程咨询技术服务项目</w:t>
      </w:r>
      <w:r>
        <w:rPr/>
        <w:t>”项目采购[采购项目编号为</w:t>
      </w:r>
      <w:r>
        <w:rPr/>
        <w:t>GDDHZB20240007</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茂名市城市管理和综合执法局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广东达禾工程管理有限公司</w:t>
      </w:r>
    </w:p>
    <w:p>
      <w:pPr>
        <w:pStyle w:val="null3"/>
        <w:ind w:firstLine="480"/>
      </w:pPr>
      <w:r>
        <w:rPr/>
        <w:t>我单位参加贵公司组织的</w:t>
      </w:r>
      <w:r>
        <w:rPr/>
        <w:t>茂名市城市生活垃圾分类全过程咨询技术服务项目</w:t>
      </w:r>
      <w:r>
        <w:rPr/>
        <w:t>（采购项目编号：</w:t>
      </w:r>
      <w:r>
        <w:rPr/>
        <w:t>GDDHZB20240007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广东达禾工程管理有限公司</w:t>
      </w:r>
    </w:p>
    <w:p>
      <w:pPr>
        <w:pStyle w:val="null3"/>
        <w:ind w:firstLine="480"/>
      </w:pPr>
      <w:r>
        <w:rPr/>
        <w:t>我单位已登记并准备参与“</w:t>
      </w:r>
      <w:r>
        <w:rPr/>
        <w:t>茂名市城市生活垃圾分类全过程咨询技术服务项目</w:t>
      </w:r>
      <w:r>
        <w:rPr/>
        <w:t>”项目（采购项目编号：</w:t>
      </w:r>
      <w:r>
        <w:rPr/>
        <w:t>GDDHZB20240007</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